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after="157" w:afterLines="50" w:line="360" w:lineRule="auto"/>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lang w:eastAsia="zh-CN"/>
        </w:rPr>
        <w:t>附件一</w:t>
      </w:r>
      <w:r>
        <w:rPr>
          <w:rFonts w:hint="eastAsia" w:ascii="宋体" w:hAnsi="宋体" w:eastAsia="宋体" w:cs="宋体"/>
          <w:b/>
          <w:bCs/>
          <w:color w:val="000000"/>
          <w:sz w:val="30"/>
          <w:szCs w:val="30"/>
          <w:lang w:val="en-US" w:eastAsia="zh-CN"/>
        </w:rPr>
        <w:t xml:space="preserve"> </w:t>
      </w:r>
    </w:p>
    <w:tbl>
      <w:tblPr>
        <w:tblStyle w:val="13"/>
        <w:tblW w:w="11070" w:type="dxa"/>
        <w:tblInd w:w="-5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870"/>
        <w:gridCol w:w="808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r>
              <w:rPr>
                <w:rFonts w:hint="eastAsia" w:ascii="宋体" w:hAnsi="宋体" w:eastAsia="宋体" w:cs="宋体"/>
                <w:b/>
                <w:bCs/>
                <w:color w:val="000000"/>
                <w:kern w:val="0"/>
                <w:sz w:val="24"/>
                <w:szCs w:val="24"/>
                <w:vertAlign w:val="baseline"/>
                <w:lang w:val="en-US" w:eastAsia="zh-CN" w:bidi="ar"/>
              </w:rPr>
              <w:t>序号</w:t>
            </w:r>
          </w:p>
        </w:tc>
        <w:tc>
          <w:tcPr>
            <w:tcW w:w="870"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r>
              <w:rPr>
                <w:rFonts w:hint="eastAsia" w:ascii="宋体" w:hAnsi="宋体" w:eastAsia="宋体" w:cs="宋体"/>
                <w:b/>
                <w:bCs/>
                <w:color w:val="000000"/>
                <w:kern w:val="0"/>
                <w:sz w:val="24"/>
                <w:szCs w:val="24"/>
                <w:vertAlign w:val="baseline"/>
                <w:lang w:val="en-US" w:eastAsia="zh-CN" w:bidi="ar"/>
              </w:rPr>
              <w:t>名称</w:t>
            </w:r>
          </w:p>
        </w:tc>
        <w:tc>
          <w:tcPr>
            <w:tcW w:w="808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r>
              <w:rPr>
                <w:rFonts w:hint="eastAsia" w:ascii="宋体" w:hAnsi="宋体" w:eastAsia="宋体" w:cs="宋体"/>
                <w:b/>
                <w:bCs/>
                <w:color w:val="000000"/>
                <w:kern w:val="0"/>
                <w:sz w:val="24"/>
                <w:szCs w:val="24"/>
                <w:vertAlign w:val="baseline"/>
                <w:lang w:val="en-US" w:eastAsia="zh-CN" w:bidi="ar"/>
              </w:rPr>
              <w:t>技术参数及要求</w:t>
            </w:r>
          </w:p>
        </w:tc>
        <w:tc>
          <w:tcPr>
            <w:tcW w:w="82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r>
              <w:rPr>
                <w:rFonts w:hint="eastAsia" w:ascii="宋体" w:hAnsi="宋体" w:eastAsia="宋体" w:cs="宋体"/>
                <w:b/>
                <w:bCs/>
                <w:color w:val="000000"/>
                <w:kern w:val="0"/>
                <w:sz w:val="24"/>
                <w:szCs w:val="24"/>
                <w:vertAlign w:val="baseline"/>
                <w:lang w:val="en-US" w:eastAsia="zh-CN" w:bidi="ar"/>
              </w:rPr>
              <w:t>参数响应</w:t>
            </w:r>
          </w:p>
        </w:tc>
        <w:tc>
          <w:tcPr>
            <w:tcW w:w="79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r>
              <w:rPr>
                <w:rFonts w:hint="eastAsia" w:ascii="宋体" w:hAnsi="宋体" w:eastAsia="宋体" w:cs="宋体"/>
                <w:b/>
                <w:bCs/>
                <w:color w:val="000000"/>
                <w:kern w:val="0"/>
                <w:sz w:val="24"/>
                <w:szCs w:val="24"/>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r>
              <w:rPr>
                <w:rFonts w:hint="eastAsia" w:ascii="宋体" w:hAnsi="宋体" w:cs="宋体"/>
                <w:b/>
                <w:bCs/>
                <w:color w:val="000000"/>
                <w:kern w:val="0"/>
                <w:sz w:val="24"/>
                <w:szCs w:val="24"/>
                <w:vertAlign w:val="baseline"/>
                <w:lang w:val="en-US" w:eastAsia="zh-CN" w:bidi="ar"/>
              </w:rPr>
              <w:t>1</w:t>
            </w:r>
          </w:p>
        </w:tc>
        <w:tc>
          <w:tcPr>
            <w:tcW w:w="870" w:type="dxa"/>
            <w:noWrap w:val="0"/>
            <w:vAlign w:val="center"/>
          </w:tcPr>
          <w:p>
            <w:pPr>
              <w:keepNext w:val="0"/>
              <w:keepLines w:val="0"/>
              <w:widowControl/>
              <w:numPr>
                <w:ilvl w:val="0"/>
                <w:numId w:val="0"/>
              </w:numPr>
              <w:suppressLineNumbers w:val="0"/>
              <w:jc w:val="center"/>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上网行为管理</w:t>
            </w:r>
          </w:p>
        </w:tc>
        <w:tc>
          <w:tcPr>
            <w:tcW w:w="8085" w:type="dxa"/>
            <w:noWrap w:val="0"/>
            <w:vAlign w:val="top"/>
          </w:tcPr>
          <w:p>
            <w:pPr>
              <w:keepNext w:val="0"/>
              <w:keepLines w:val="0"/>
              <w:widowControl/>
              <w:numPr>
                <w:ilvl w:val="0"/>
                <w:numId w:val="1"/>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网络吞吐量≥</w:t>
            </w:r>
            <w:r>
              <w:rPr>
                <w:rFonts w:hint="eastAsia" w:ascii="宋体" w:hAnsi="宋体" w:cs="宋体"/>
                <w:sz w:val="24"/>
                <w:szCs w:val="24"/>
                <w:lang w:val="en-US" w:eastAsia="zh-CN"/>
              </w:rPr>
              <w:t>20</w:t>
            </w:r>
            <w:r>
              <w:rPr>
                <w:rFonts w:hint="eastAsia" w:ascii="宋体" w:hAnsi="宋体" w:eastAsia="宋体" w:cs="宋体"/>
                <w:sz w:val="24"/>
                <w:szCs w:val="24"/>
              </w:rPr>
              <w:t>Gbps</w:t>
            </w:r>
            <w:r>
              <w:rPr>
                <w:rFonts w:hint="eastAsia" w:ascii="宋体" w:hAnsi="宋体" w:eastAsia="宋体" w:cs="宋体"/>
                <w:color w:val="FF0000"/>
                <w:sz w:val="24"/>
                <w:szCs w:val="24"/>
                <w:lang w:val="en-US" w:eastAsia="zh-CN"/>
              </w:rPr>
              <w:t xml:space="preserve"> </w:t>
            </w:r>
            <w:r>
              <w:rPr>
                <w:rFonts w:hint="eastAsia" w:ascii="宋体" w:hAnsi="宋体" w:eastAsia="宋体" w:cs="宋体"/>
                <w:sz w:val="24"/>
                <w:szCs w:val="24"/>
              </w:rPr>
              <w:t>、推荐带宽≥</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G</w:t>
            </w:r>
            <w:r>
              <w:rPr>
                <w:rFonts w:hint="eastAsia" w:ascii="宋体" w:hAnsi="宋体" w:eastAsia="宋体" w:cs="宋体"/>
                <w:sz w:val="24"/>
                <w:szCs w:val="24"/>
              </w:rPr>
              <w:t>bps、支持用户数≥</w:t>
            </w:r>
            <w:r>
              <w:rPr>
                <w:rFonts w:hint="eastAsia" w:ascii="宋体" w:hAnsi="宋体" w:cs="宋体"/>
                <w:sz w:val="24"/>
                <w:szCs w:val="24"/>
                <w:lang w:val="en-US" w:eastAsia="zh-CN"/>
              </w:rPr>
              <w:t>10000</w:t>
            </w:r>
            <w:r>
              <w:rPr>
                <w:rFonts w:hint="eastAsia" w:ascii="宋体" w:hAnsi="宋体" w:eastAsia="宋体" w:cs="宋体"/>
                <w:sz w:val="24"/>
                <w:szCs w:val="24"/>
              </w:rPr>
              <w:t>、每秒新建数≥</w:t>
            </w:r>
            <w:r>
              <w:rPr>
                <w:rFonts w:hint="eastAsia" w:ascii="宋体" w:hAnsi="宋体" w:cs="宋体"/>
                <w:sz w:val="24"/>
                <w:szCs w:val="24"/>
                <w:lang w:val="en-US" w:eastAsia="zh-CN"/>
              </w:rPr>
              <w:t>20000</w:t>
            </w:r>
            <w:r>
              <w:rPr>
                <w:rFonts w:hint="eastAsia" w:ascii="宋体" w:hAnsi="宋体" w:eastAsia="宋体" w:cs="宋体"/>
                <w:sz w:val="24"/>
                <w:szCs w:val="24"/>
              </w:rPr>
              <w:t>、最大并发数≥</w:t>
            </w:r>
            <w:r>
              <w:rPr>
                <w:rFonts w:hint="eastAsia" w:ascii="宋体" w:hAnsi="宋体" w:cs="宋体"/>
                <w:sz w:val="24"/>
                <w:szCs w:val="24"/>
                <w:lang w:val="en-US" w:eastAsia="zh-CN"/>
              </w:rPr>
              <w:t>80</w:t>
            </w:r>
            <w:r>
              <w:rPr>
                <w:rFonts w:hint="eastAsia" w:ascii="宋体" w:hAnsi="宋体" w:eastAsia="宋体" w:cs="宋体"/>
                <w:sz w:val="24"/>
                <w:szCs w:val="24"/>
                <w:lang w:val="en-US" w:eastAsia="zh-CN"/>
              </w:rPr>
              <w:t>万</w:t>
            </w:r>
            <w:r>
              <w:rPr>
                <w:rFonts w:hint="eastAsia" w:ascii="宋体" w:hAnsi="宋体" w:eastAsia="宋体" w:cs="宋体"/>
                <w:sz w:val="24"/>
                <w:szCs w:val="24"/>
              </w:rPr>
              <w:t>，内存≥</w:t>
            </w:r>
            <w:r>
              <w:rPr>
                <w:rFonts w:hint="eastAsia" w:ascii="宋体" w:hAnsi="宋体" w:eastAsia="宋体" w:cs="宋体"/>
                <w:sz w:val="24"/>
                <w:szCs w:val="24"/>
                <w:lang w:val="en-US" w:eastAsia="zh-CN"/>
              </w:rPr>
              <w:t>8</w:t>
            </w:r>
            <w:r>
              <w:rPr>
                <w:rFonts w:hint="eastAsia" w:ascii="宋体" w:hAnsi="宋体" w:eastAsia="宋体" w:cs="宋体"/>
                <w:sz w:val="24"/>
                <w:szCs w:val="24"/>
              </w:rPr>
              <w:t>GB，硬盘容量≥</w:t>
            </w:r>
            <w:r>
              <w:rPr>
                <w:rFonts w:hint="eastAsia" w:ascii="宋体" w:hAnsi="宋体" w:eastAsia="宋体" w:cs="宋体"/>
                <w:sz w:val="24"/>
                <w:szCs w:val="24"/>
                <w:lang w:val="en-US" w:eastAsia="zh-CN"/>
              </w:rPr>
              <w:t>900</w:t>
            </w:r>
            <w:r>
              <w:rPr>
                <w:rFonts w:hint="eastAsia" w:ascii="宋体" w:hAnsi="宋体" w:eastAsia="宋体" w:cs="宋体"/>
                <w:sz w:val="24"/>
                <w:szCs w:val="24"/>
              </w:rPr>
              <w:t>G</w:t>
            </w:r>
            <w:r>
              <w:rPr>
                <w:rFonts w:hint="eastAsia" w:ascii="宋体" w:hAnsi="宋体" w:cs="宋体"/>
                <w:sz w:val="24"/>
                <w:szCs w:val="24"/>
                <w:lang w:val="en-US" w:eastAsia="zh-CN"/>
              </w:rPr>
              <w:t xml:space="preserve"> </w:t>
            </w:r>
            <w:r>
              <w:rPr>
                <w:rFonts w:hint="eastAsia" w:ascii="宋体" w:hAnsi="宋体" w:eastAsia="宋体" w:cs="宋体"/>
                <w:sz w:val="24"/>
                <w:szCs w:val="24"/>
              </w:rPr>
              <w:t>minisata SSD</w:t>
            </w:r>
            <w:r>
              <w:rPr>
                <w:rFonts w:hint="eastAsia" w:ascii="宋体" w:hAnsi="宋体" w:cs="宋体"/>
                <w:sz w:val="24"/>
                <w:szCs w:val="24"/>
                <w:lang w:eastAsia="zh-CN"/>
              </w:rPr>
              <w:t>，</w:t>
            </w:r>
            <w:r>
              <w:rPr>
                <w:rFonts w:hint="eastAsia" w:ascii="宋体" w:hAnsi="宋体" w:eastAsia="宋体" w:cs="宋体"/>
                <w:sz w:val="24"/>
                <w:szCs w:val="24"/>
              </w:rPr>
              <w:t xml:space="preserve"> 至少具备</w:t>
            </w:r>
            <w:r>
              <w:rPr>
                <w:rFonts w:hint="eastAsia" w:ascii="宋体" w:hAnsi="宋体" w:eastAsia="宋体" w:cs="宋体"/>
                <w:sz w:val="24"/>
                <w:szCs w:val="24"/>
                <w:lang w:val="en-US" w:eastAsia="zh-CN"/>
              </w:rPr>
              <w:t>6</w:t>
            </w:r>
            <w:r>
              <w:rPr>
                <w:rFonts w:hint="eastAsia" w:ascii="宋体" w:hAnsi="宋体" w:eastAsia="宋体" w:cs="宋体"/>
                <w:sz w:val="24"/>
                <w:szCs w:val="24"/>
              </w:rPr>
              <w:t>个千兆电口</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2个万兆光口</w:t>
            </w:r>
            <w:r>
              <w:rPr>
                <w:rFonts w:hint="eastAsia" w:ascii="宋体" w:hAnsi="宋体" w:eastAsia="宋体" w:cs="宋体"/>
                <w:b w:val="0"/>
                <w:bCs w:val="0"/>
                <w:color w:val="000000"/>
                <w:kern w:val="0"/>
                <w:sz w:val="24"/>
                <w:szCs w:val="24"/>
                <w:vertAlign w:val="baseline"/>
                <w:lang w:val="en-US" w:eastAsia="zh-CN" w:bidi="ar"/>
              </w:rPr>
              <w:t>SFP+</w:t>
            </w:r>
            <w:r>
              <w:rPr>
                <w:rFonts w:hint="eastAsia" w:ascii="宋体" w:hAnsi="宋体" w:cs="宋体"/>
                <w:b w:val="0"/>
                <w:bCs w:val="0"/>
                <w:color w:val="000000"/>
                <w:kern w:val="0"/>
                <w:sz w:val="24"/>
                <w:szCs w:val="24"/>
                <w:vertAlign w:val="baseline"/>
                <w:lang w:val="en-US" w:eastAsia="zh-CN" w:bidi="ar"/>
              </w:rPr>
              <w:t>（含满配光模块），</w:t>
            </w:r>
            <w:r>
              <w:rPr>
                <w:rFonts w:hint="eastAsia" w:ascii="宋体" w:hAnsi="宋体" w:eastAsia="宋体" w:cs="宋体"/>
                <w:sz w:val="24"/>
                <w:szCs w:val="24"/>
              </w:rPr>
              <w:t>1个串口(RJ45)， 2个USB接口，</w:t>
            </w:r>
            <w:r>
              <w:rPr>
                <w:rFonts w:hint="eastAsia" w:ascii="宋体" w:hAnsi="宋体" w:cs="宋体"/>
                <w:sz w:val="24"/>
                <w:szCs w:val="24"/>
                <w:lang w:val="en-US" w:eastAsia="zh-CN"/>
              </w:rPr>
              <w:t>交流冗余电源（220V）</w:t>
            </w:r>
            <w:r>
              <w:rPr>
                <w:rFonts w:hint="eastAsia" w:ascii="宋体" w:hAnsi="宋体" w:eastAsia="宋体" w:cs="宋体"/>
                <w:sz w:val="24"/>
                <w:szCs w:val="24"/>
              </w:rPr>
              <w:t>标准机架设备</w:t>
            </w:r>
            <w:r>
              <w:rPr>
                <w:rFonts w:hint="eastAsia" w:ascii="宋体" w:hAnsi="宋体" w:cs="宋体"/>
                <w:sz w:val="24"/>
                <w:szCs w:val="24"/>
                <w:lang w:val="en-US" w:eastAsia="zh-CN"/>
              </w:rPr>
              <w:t>，</w:t>
            </w:r>
            <w:r>
              <w:rPr>
                <w:rFonts w:hint="eastAsia" w:ascii="宋体" w:hAnsi="宋体" w:eastAsia="宋体" w:cs="宋体"/>
                <w:sz w:val="24"/>
                <w:szCs w:val="24"/>
              </w:rPr>
              <w:t>具备基本流量审计、应用审计、行为审计等功能；</w:t>
            </w:r>
          </w:p>
          <w:p>
            <w:pPr>
              <w:keepNext w:val="0"/>
              <w:keepLines w:val="0"/>
              <w:widowControl/>
              <w:numPr>
                <w:ilvl w:val="0"/>
                <w:numId w:val="1"/>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支持网关、网桥、旁路模式部署；网关模式，支持NAT、路由转发、DHCP、GRE、OSPF等功能；</w:t>
            </w:r>
          </w:p>
          <w:p>
            <w:pPr>
              <w:keepNext w:val="0"/>
              <w:keepLines w:val="0"/>
              <w:widowControl/>
              <w:numPr>
                <w:ilvl w:val="0"/>
                <w:numId w:val="1"/>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支持部署在IPv6环境中，设备接口及部署模式均支持ipv6配置；所有核心功能（上网认证、应用控制、流量控制、内容审计、日志报表等）都支持IPv6；</w:t>
            </w:r>
            <w:r>
              <w:rPr>
                <w:rFonts w:hint="eastAsia" w:ascii="宋体" w:hAnsi="宋体" w:eastAsia="宋体" w:cs="宋体"/>
                <w:b w:val="0"/>
                <w:bCs w:val="0"/>
                <w:color w:val="000000"/>
                <w:kern w:val="0"/>
                <w:sz w:val="24"/>
                <w:szCs w:val="24"/>
                <w:vertAlign w:val="baseline"/>
                <w:lang w:val="en-US" w:eastAsia="zh-CN" w:bidi="ar"/>
              </w:rPr>
              <w:t>（需提供相关功能截图证明）</w:t>
            </w:r>
            <w:r>
              <w:rPr>
                <w:rFonts w:hint="eastAsia" w:ascii="宋体" w:hAnsi="宋体" w:eastAsia="宋体" w:cs="宋体"/>
                <w:sz w:val="24"/>
                <w:szCs w:val="24"/>
                <w:lang w:val="en-US" w:eastAsia="zh-CN"/>
              </w:rPr>
              <w:t>；</w:t>
            </w:r>
          </w:p>
          <w:p>
            <w:pPr>
              <w:keepNext w:val="0"/>
              <w:keepLines w:val="0"/>
              <w:widowControl/>
              <w:numPr>
                <w:ilvl w:val="0"/>
                <w:numId w:val="1"/>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支持</w:t>
            </w:r>
            <w:r>
              <w:rPr>
                <w:rFonts w:hint="eastAsia" w:ascii="宋体" w:hAnsi="宋体" w:eastAsia="宋体" w:cs="宋体"/>
                <w:color w:val="000000"/>
                <w:sz w:val="24"/>
                <w:szCs w:val="24"/>
              </w:rPr>
              <w:t>首页分</w:t>
            </w:r>
            <w:r>
              <w:rPr>
                <w:rFonts w:hint="eastAsia" w:ascii="宋体" w:hAnsi="宋体" w:eastAsia="宋体" w:cs="宋体"/>
                <w:sz w:val="24"/>
                <w:szCs w:val="24"/>
              </w:rPr>
              <w:t>析显示接入用户人数、终端类型、认证方式；带宽质量分析、实时流量排名；泄密风险、违规访问、共享上网等行为风险情况</w:t>
            </w:r>
            <w:r>
              <w:rPr>
                <w:rFonts w:hint="eastAsia" w:ascii="宋体" w:hAnsi="宋体" w:eastAsia="宋体" w:cs="宋体"/>
                <w:sz w:val="24"/>
                <w:szCs w:val="24"/>
                <w:lang w:eastAsia="zh-CN"/>
              </w:rPr>
              <w:t>；</w:t>
            </w:r>
          </w:p>
          <w:p>
            <w:pPr>
              <w:keepNext w:val="0"/>
              <w:keepLines w:val="0"/>
              <w:widowControl/>
              <w:numPr>
                <w:ilvl w:val="0"/>
                <w:numId w:val="1"/>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基于“流量”、“流速”、“时长”设置配额，当配额耗尽后，将用户加入到指定的流控黑名单惩罚通道中</w:t>
            </w:r>
            <w:r>
              <w:rPr>
                <w:rFonts w:hint="eastAsia" w:ascii="宋体" w:hAnsi="宋体" w:eastAsia="宋体" w:cs="宋体"/>
                <w:b w:val="0"/>
                <w:bCs w:val="0"/>
                <w:color w:val="000000"/>
                <w:kern w:val="0"/>
                <w:sz w:val="24"/>
                <w:szCs w:val="24"/>
                <w:vertAlign w:val="baseline"/>
                <w:lang w:val="en-US" w:eastAsia="zh-CN" w:bidi="ar"/>
              </w:rPr>
              <w:t>（需提供相关功能截图证明）</w:t>
            </w:r>
            <w:r>
              <w:rPr>
                <w:rFonts w:hint="eastAsia" w:ascii="宋体" w:hAnsi="宋体" w:eastAsia="宋体" w:cs="宋体"/>
                <w:sz w:val="24"/>
                <w:szCs w:val="24"/>
                <w:lang w:val="en-US" w:eastAsia="zh-CN"/>
              </w:rPr>
              <w:t>；</w:t>
            </w:r>
          </w:p>
          <w:p>
            <w:pPr>
              <w:keepNext w:val="0"/>
              <w:keepLines w:val="0"/>
              <w:widowControl/>
              <w:numPr>
                <w:ilvl w:val="0"/>
                <w:numId w:val="1"/>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支持通过抑制P2P的上行流量，来减缓P2P的下行流量，从而解决网络出口在做流控后仍然压力较大的问题</w:t>
            </w:r>
            <w:r>
              <w:rPr>
                <w:rFonts w:hint="eastAsia" w:ascii="宋体" w:hAnsi="宋体" w:eastAsia="宋体" w:cs="宋体"/>
                <w:b w:val="0"/>
                <w:bCs w:val="0"/>
                <w:color w:val="000000"/>
                <w:kern w:val="0"/>
                <w:sz w:val="24"/>
                <w:szCs w:val="24"/>
                <w:vertAlign w:val="baseline"/>
                <w:lang w:val="en-US" w:eastAsia="zh-CN" w:bidi="ar"/>
              </w:rPr>
              <w:t>（需提供相关功能截图证明）；</w:t>
            </w:r>
          </w:p>
          <w:p>
            <w:pPr>
              <w:keepNext w:val="0"/>
              <w:keepLines w:val="0"/>
              <w:widowControl/>
              <w:numPr>
                <w:ilvl w:val="0"/>
                <w:numId w:val="1"/>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在流量时长分析、用户行为分析、终端接入分析等纬度相关页面支持对统计结果的向下钻取查询</w:t>
            </w:r>
            <w:r>
              <w:rPr>
                <w:rFonts w:hint="eastAsia" w:ascii="宋体" w:hAnsi="宋体" w:cs="宋体"/>
                <w:sz w:val="24"/>
                <w:szCs w:val="24"/>
                <w:lang w:eastAsia="zh-CN"/>
              </w:rPr>
              <w:t>；</w:t>
            </w:r>
          </w:p>
          <w:p>
            <w:pPr>
              <w:keepNext w:val="0"/>
              <w:keepLines w:val="0"/>
              <w:widowControl/>
              <w:numPr>
                <w:ilvl w:val="0"/>
                <w:numId w:val="1"/>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设备内置应用识别规则库，支持超过10000条应用规则数，支持超过6500种以上的应用，并保持每两个星期更新一次，保证应用识别的准确率；</w:t>
            </w:r>
          </w:p>
          <w:p>
            <w:pPr>
              <w:keepNext w:val="0"/>
              <w:keepLines w:val="0"/>
              <w:widowControl/>
              <w:numPr>
                <w:ilvl w:val="0"/>
                <w:numId w:val="1"/>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能够对新浪微博、腾讯微博、网易微博等进行细分控制，如：登录、浏览、发微博、上传附件等</w:t>
            </w:r>
            <w:r>
              <w:rPr>
                <w:rFonts w:hint="eastAsia" w:ascii="宋体" w:hAnsi="宋体" w:cs="宋体"/>
                <w:sz w:val="24"/>
                <w:szCs w:val="24"/>
                <w:lang w:eastAsia="zh-CN"/>
              </w:rPr>
              <w:t>；</w:t>
            </w:r>
          </w:p>
          <w:p>
            <w:pPr>
              <w:keepNext w:val="0"/>
              <w:keepLines w:val="0"/>
              <w:widowControl/>
              <w:numPr>
                <w:ilvl w:val="0"/>
                <w:numId w:val="1"/>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厂商应是国家互联网应急中心（CNCERT）服务支撑单位（国家级），提供相关证明材料；</w:t>
            </w:r>
          </w:p>
          <w:p>
            <w:pPr>
              <w:keepNext w:val="0"/>
              <w:keepLines w:val="0"/>
              <w:widowControl/>
              <w:numPr>
                <w:ilvl w:val="0"/>
                <w:numId w:val="1"/>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要求提供上门安装调试及工程师3年7×24小时免费上门服务，提供原厂出具的针对本项目的授权书、服务承诺函，提供3年免费软硬件质保及3年URL规则库升级</w:t>
            </w:r>
            <w:r>
              <w:rPr>
                <w:rFonts w:hint="eastAsia" w:ascii="宋体" w:hAnsi="宋体" w:eastAsia="宋体" w:cs="宋体"/>
                <w:sz w:val="24"/>
                <w:szCs w:val="24"/>
                <w:lang w:eastAsia="zh-CN"/>
              </w:rPr>
              <w:t>。</w:t>
            </w:r>
            <w:r>
              <w:rPr>
                <w:rFonts w:hint="eastAsia" w:ascii="宋体" w:hAnsi="宋体" w:eastAsia="宋体" w:cs="宋体"/>
                <w:sz w:val="24"/>
                <w:szCs w:val="24"/>
                <w:lang w:val="en-US" w:eastAsia="zh-Hans"/>
              </w:rPr>
              <w:t>并承诺在运维服务期间如出现网络安全事故</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承担相应责任</w:t>
            </w:r>
            <w:r>
              <w:rPr>
                <w:rFonts w:hint="default" w:ascii="宋体" w:hAnsi="宋体" w:eastAsia="宋体" w:cs="宋体"/>
                <w:sz w:val="24"/>
                <w:szCs w:val="24"/>
                <w:lang w:eastAsia="zh-Hans"/>
              </w:rPr>
              <w:t>。</w:t>
            </w:r>
          </w:p>
        </w:tc>
        <w:tc>
          <w:tcPr>
            <w:tcW w:w="825" w:type="dxa"/>
            <w:noWrap w:val="0"/>
            <w:vAlign w:val="center"/>
          </w:tcPr>
          <w:p>
            <w:pPr>
              <w:keepNext w:val="0"/>
              <w:keepLines w:val="0"/>
              <w:widowControl/>
              <w:numPr>
                <w:ilvl w:val="0"/>
                <w:numId w:val="0"/>
              </w:numPr>
              <w:suppressLineNumbers w:val="0"/>
              <w:jc w:val="center"/>
              <w:rPr>
                <w:rFonts w:hint="default" w:ascii="宋体" w:hAnsi="宋体" w:eastAsia="宋体" w:cs="宋体"/>
                <w:b w:val="0"/>
                <w:bCs w:val="0"/>
                <w:color w:val="000000"/>
                <w:kern w:val="0"/>
                <w:sz w:val="24"/>
                <w:szCs w:val="24"/>
                <w:vertAlign w:val="baseline"/>
                <w:lang w:val="en-US" w:eastAsia="zh-CN" w:bidi="ar"/>
              </w:rPr>
            </w:pPr>
          </w:p>
        </w:tc>
        <w:tc>
          <w:tcPr>
            <w:tcW w:w="795" w:type="dxa"/>
            <w:noWrap w:val="0"/>
            <w:vAlign w:val="top"/>
          </w:tcPr>
          <w:p>
            <w:pPr>
              <w:keepNext w:val="0"/>
              <w:keepLines w:val="0"/>
              <w:widowControl/>
              <w:numPr>
                <w:ilvl w:val="0"/>
                <w:numId w:val="0"/>
              </w:numPr>
              <w:suppressLineNumbers w:val="0"/>
              <w:jc w:val="left"/>
              <w:rPr>
                <w:rFonts w:hint="default" w:ascii="宋体" w:hAnsi="宋体" w:eastAsia="宋体" w:cs="宋体"/>
                <w:b/>
                <w:bCs/>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r>
              <w:rPr>
                <w:rFonts w:hint="eastAsia" w:ascii="宋体" w:hAnsi="宋体" w:cs="宋体"/>
                <w:b/>
                <w:bCs/>
                <w:color w:val="000000"/>
                <w:kern w:val="0"/>
                <w:sz w:val="24"/>
                <w:szCs w:val="24"/>
                <w:vertAlign w:val="baseline"/>
                <w:lang w:val="en-US" w:eastAsia="zh-CN" w:bidi="ar"/>
              </w:rPr>
              <w:t>2</w:t>
            </w:r>
          </w:p>
        </w:tc>
        <w:tc>
          <w:tcPr>
            <w:tcW w:w="870" w:type="dxa"/>
            <w:noWrap w:val="0"/>
            <w:vAlign w:val="center"/>
          </w:tcPr>
          <w:p>
            <w:pPr>
              <w:keepNext w:val="0"/>
              <w:keepLines w:val="0"/>
              <w:widowControl/>
              <w:numPr>
                <w:ilvl w:val="0"/>
                <w:numId w:val="0"/>
              </w:numPr>
              <w:suppressLineNumbers w:val="0"/>
              <w:jc w:val="center"/>
              <w:rPr>
                <w:rFonts w:hint="default"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数据库审计</w:t>
            </w:r>
          </w:p>
        </w:tc>
        <w:tc>
          <w:tcPr>
            <w:tcW w:w="8085" w:type="dxa"/>
            <w:noWrap w:val="0"/>
            <w:vAlign w:val="top"/>
          </w:tcPr>
          <w:p>
            <w:pPr>
              <w:keepNext w:val="0"/>
              <w:keepLines w:val="0"/>
              <w:widowControl/>
              <w:numPr>
                <w:ilvl w:val="0"/>
                <w:numId w:val="2"/>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最大纯数据库流量</w:t>
            </w:r>
            <w:r>
              <w:rPr>
                <w:rFonts w:hint="eastAsia" w:ascii="宋体" w:hAnsi="宋体" w:eastAsia="宋体" w:cs="宋体"/>
                <w:sz w:val="24"/>
                <w:szCs w:val="24"/>
              </w:rPr>
              <w:t>≥</w:t>
            </w:r>
            <w:r>
              <w:rPr>
                <w:rFonts w:hint="eastAsia" w:ascii="宋体" w:hAnsi="宋体" w:eastAsia="宋体" w:cs="宋体"/>
                <w:sz w:val="24"/>
                <w:szCs w:val="24"/>
                <w:lang w:val="en-US" w:eastAsia="zh-CN"/>
              </w:rPr>
              <w:t>400Mb/s，数据库实例个数</w:t>
            </w:r>
            <w:r>
              <w:rPr>
                <w:rFonts w:hint="eastAsia" w:ascii="宋体" w:hAnsi="宋体" w:eastAsia="宋体" w:cs="宋体"/>
                <w:sz w:val="24"/>
                <w:szCs w:val="24"/>
              </w:rPr>
              <w:t>≥</w:t>
            </w:r>
            <w:r>
              <w:rPr>
                <w:rFonts w:hint="eastAsia" w:ascii="宋体" w:hAnsi="宋体" w:eastAsia="宋体" w:cs="宋体"/>
                <w:sz w:val="24"/>
                <w:szCs w:val="24"/>
                <w:lang w:val="en-US" w:eastAsia="zh-CN"/>
              </w:rPr>
              <w:t>30个，SQL处理性能</w:t>
            </w:r>
            <w:r>
              <w:rPr>
                <w:rFonts w:hint="eastAsia" w:ascii="宋体" w:hAnsi="宋体" w:eastAsia="宋体" w:cs="宋体"/>
                <w:sz w:val="24"/>
                <w:szCs w:val="24"/>
              </w:rPr>
              <w:t>≥</w:t>
            </w:r>
            <w:r>
              <w:rPr>
                <w:rFonts w:hint="eastAsia" w:ascii="宋体" w:hAnsi="宋体" w:eastAsia="宋体" w:cs="宋体"/>
                <w:sz w:val="24"/>
                <w:szCs w:val="24"/>
                <w:lang w:val="en-US" w:eastAsia="zh-CN"/>
              </w:rPr>
              <w:t>10000条SQL/s，日志检索性能</w:t>
            </w:r>
            <w:r>
              <w:rPr>
                <w:rFonts w:hint="eastAsia" w:ascii="宋体" w:hAnsi="宋体" w:eastAsia="宋体" w:cs="宋体"/>
                <w:sz w:val="24"/>
                <w:szCs w:val="24"/>
              </w:rPr>
              <w:t>≥</w:t>
            </w:r>
            <w:r>
              <w:rPr>
                <w:rFonts w:hint="eastAsia" w:ascii="宋体" w:hAnsi="宋体" w:eastAsia="宋体" w:cs="宋体"/>
                <w:sz w:val="24"/>
                <w:szCs w:val="24"/>
                <w:lang w:val="en-US" w:eastAsia="zh-CN"/>
              </w:rPr>
              <w:t>500000条/秒。规格：内存大小</w:t>
            </w:r>
            <w:r>
              <w:rPr>
                <w:rFonts w:hint="eastAsia" w:ascii="宋体" w:hAnsi="宋体" w:eastAsia="宋体" w:cs="宋体"/>
                <w:sz w:val="24"/>
                <w:szCs w:val="24"/>
              </w:rPr>
              <w:t>≥</w:t>
            </w:r>
            <w:r>
              <w:rPr>
                <w:rFonts w:hint="eastAsia" w:ascii="宋体" w:hAnsi="宋体" w:eastAsia="宋体" w:cs="宋体"/>
                <w:sz w:val="24"/>
                <w:szCs w:val="24"/>
                <w:lang w:val="en-US" w:eastAsia="zh-CN"/>
              </w:rPr>
              <w:t>8G，硬盘容量</w:t>
            </w:r>
            <w:r>
              <w:rPr>
                <w:rFonts w:hint="eastAsia" w:ascii="宋体" w:hAnsi="宋体" w:eastAsia="宋体" w:cs="宋体"/>
                <w:sz w:val="24"/>
                <w:szCs w:val="24"/>
              </w:rPr>
              <w:t>≥</w:t>
            </w:r>
            <w:r>
              <w:rPr>
                <w:rFonts w:hint="eastAsia" w:ascii="宋体" w:hAnsi="宋体" w:eastAsia="宋体" w:cs="宋体"/>
                <w:sz w:val="24"/>
                <w:szCs w:val="24"/>
                <w:lang w:val="en-US" w:eastAsia="zh-CN"/>
              </w:rPr>
              <w:t>2T SATA，接口至少6千兆电口</w:t>
            </w:r>
            <w:r>
              <w:rPr>
                <w:rFonts w:hint="eastAsia" w:ascii="宋体" w:hAnsi="宋体" w:cs="宋体"/>
                <w:sz w:val="24"/>
                <w:szCs w:val="24"/>
                <w:lang w:val="en-US" w:eastAsia="zh-CN"/>
              </w:rPr>
              <w:t>，</w:t>
            </w:r>
            <w:r>
              <w:rPr>
                <w:rFonts w:hint="eastAsia" w:ascii="宋体" w:hAnsi="宋体" w:eastAsia="宋体" w:cs="宋体"/>
                <w:sz w:val="24"/>
                <w:szCs w:val="24"/>
              </w:rPr>
              <w:t>标准机架设备</w:t>
            </w:r>
            <w:r>
              <w:rPr>
                <w:rFonts w:hint="eastAsia" w:ascii="宋体" w:hAnsi="宋体" w:cs="宋体"/>
                <w:sz w:val="24"/>
                <w:szCs w:val="24"/>
                <w:lang w:val="en-US" w:eastAsia="zh-CN"/>
              </w:rPr>
              <w:t>；</w:t>
            </w:r>
          </w:p>
          <w:p>
            <w:pPr>
              <w:keepNext w:val="0"/>
              <w:keepLines w:val="0"/>
              <w:widowControl/>
              <w:numPr>
                <w:ilvl w:val="0"/>
                <w:numId w:val="2"/>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采用B/S管理方式，无需在被审计系统上安装任何代理；无需单独的数据中心，一台设备完成所有工作；提供图形用户界面，以简单、直观的方式完成策略配置、警报查询、攻击响应、集中管理等各种任务；</w:t>
            </w:r>
          </w:p>
          <w:p>
            <w:pPr>
              <w:keepNext w:val="0"/>
              <w:keepLines w:val="0"/>
              <w:widowControl/>
              <w:numPr>
                <w:ilvl w:val="0"/>
                <w:numId w:val="2"/>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支持主流数据库Oracle、SQL-Server、DB2、MySQL、Informix、Sybase、Postgresql、Cache、达梦、人大金仓、南大通用、MongDB、K-DB、（需提供相关功能截图证明）；</w:t>
            </w:r>
          </w:p>
          <w:p>
            <w:pPr>
              <w:keepNext w:val="0"/>
              <w:keepLines w:val="0"/>
              <w:widowControl/>
              <w:numPr>
                <w:ilvl w:val="0"/>
                <w:numId w:val="2"/>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支持对跨包SQL语句进行拼接，能够完整解析与审计超长SQL语句（超过1460字节），防止躲避审计的行为； </w:t>
            </w:r>
          </w:p>
          <w:p>
            <w:pPr>
              <w:keepNext w:val="0"/>
              <w:keepLines w:val="0"/>
              <w:widowControl/>
              <w:numPr>
                <w:ilvl w:val="0"/>
                <w:numId w:val="2"/>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数据库访问记录应至少包括发生时间、业务用户名、操作终端主机名及IP/MAC地址、终端工具名称、数据库名、表名、语句、返回结果等关键信息，可对日志进行细粒度解析</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分类审计；</w:t>
            </w:r>
          </w:p>
          <w:p>
            <w:pPr>
              <w:keepNext w:val="0"/>
              <w:keepLines w:val="0"/>
              <w:widowControl/>
              <w:numPr>
                <w:ilvl w:val="0"/>
                <w:numId w:val="2"/>
              </w:numPr>
              <w:suppressLineNumbers w:val="0"/>
              <w:jc w:val="left"/>
              <w:rPr>
                <w:rFonts w:hint="eastAsia"/>
                <w:sz w:val="24"/>
                <w:szCs w:val="24"/>
                <w:lang w:val="en-US" w:eastAsia="zh-CN"/>
              </w:rPr>
            </w:pPr>
            <w:r>
              <w:rPr>
                <w:rFonts w:hint="eastAsia" w:ascii="宋体" w:hAnsi="宋体" w:eastAsia="宋体" w:cs="宋体"/>
                <w:sz w:val="24"/>
                <w:szCs w:val="24"/>
              </w:rPr>
              <w:t>设备必须自带默认策略(如黑/白名单、全审计、攻击特征</w:t>
            </w:r>
            <w:r>
              <w:rPr>
                <w:rFonts w:hint="eastAsia" w:ascii="宋体" w:hAnsi="宋体" w:cs="宋体"/>
                <w:sz w:val="24"/>
                <w:szCs w:val="24"/>
                <w:lang w:eastAsia="zh-CN"/>
              </w:rPr>
              <w:t>等</w:t>
            </w:r>
            <w:r>
              <w:rPr>
                <w:rFonts w:hint="eastAsia" w:ascii="宋体" w:hAnsi="宋体" w:eastAsia="宋体" w:cs="宋体"/>
                <w:sz w:val="24"/>
                <w:szCs w:val="24"/>
              </w:rPr>
              <w:t>)，支持自定义策略和规则，方便用户灵活配置审计规则</w:t>
            </w:r>
            <w:r>
              <w:rPr>
                <w:rFonts w:hint="eastAsia" w:ascii="宋体" w:hAnsi="宋体" w:cs="宋体"/>
                <w:sz w:val="24"/>
                <w:szCs w:val="24"/>
                <w:lang w:eastAsia="zh-CN"/>
              </w:rPr>
              <w:t>，</w:t>
            </w:r>
            <w:r>
              <w:rPr>
                <w:rFonts w:hint="eastAsia" w:ascii="宋体" w:hAnsi="宋体" w:eastAsia="宋体" w:cs="宋体"/>
                <w:sz w:val="24"/>
                <w:szCs w:val="24"/>
              </w:rPr>
              <w:t>支持以操作类型、时间、IP地址、用户名、主机名、终端名、数据库表、认证结果、敏感数据等作为事件识别规则</w:t>
            </w:r>
            <w:r>
              <w:rPr>
                <w:rFonts w:hint="eastAsia" w:ascii="宋体" w:hAnsi="宋体" w:cs="宋体"/>
                <w:sz w:val="24"/>
                <w:szCs w:val="24"/>
                <w:lang w:eastAsia="zh-CN"/>
              </w:rPr>
              <w:t>。</w:t>
            </w:r>
            <w:r>
              <w:rPr>
                <w:rFonts w:hint="eastAsia" w:ascii="宋体" w:hAnsi="宋体" w:eastAsia="宋体" w:cs="宋体"/>
                <w:sz w:val="24"/>
                <w:szCs w:val="24"/>
              </w:rPr>
              <w:t>（需提供设备配置截图证明）；</w:t>
            </w:r>
          </w:p>
          <w:p>
            <w:pPr>
              <w:keepNext w:val="0"/>
              <w:keepLines w:val="0"/>
              <w:widowControl/>
              <w:numPr>
                <w:ilvl w:val="0"/>
                <w:numId w:val="2"/>
              </w:numPr>
              <w:suppressLineNumbers w:val="0"/>
              <w:jc w:val="left"/>
              <w:rPr>
                <w:rFonts w:hint="eastAsia"/>
                <w:sz w:val="24"/>
                <w:szCs w:val="24"/>
                <w:lang w:val="en-US" w:eastAsia="zh-CN"/>
              </w:rPr>
            </w:pPr>
            <w:r>
              <w:rPr>
                <w:rFonts w:hint="eastAsia" w:ascii="宋体" w:hAnsi="宋体" w:eastAsia="宋体" w:cs="宋体"/>
                <w:sz w:val="24"/>
                <w:szCs w:val="24"/>
              </w:rPr>
              <w:t>★单一设备可同时支持包括数据库审计、数据库防火墙、风险漏洞扫描、状态监控、敏感数据扫描等功能，能够按需扩展（需提供设备配置截图证明）</w:t>
            </w:r>
          </w:p>
          <w:p>
            <w:pPr>
              <w:keepNext w:val="0"/>
              <w:keepLines w:val="0"/>
              <w:widowControl/>
              <w:numPr>
                <w:ilvl w:val="0"/>
                <w:numId w:val="2"/>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厂商为国家信息安全漏洞共享平台CNVD技术组</w:t>
            </w:r>
            <w:r>
              <w:rPr>
                <w:rFonts w:hint="eastAsia" w:ascii="宋体" w:hAnsi="宋体" w:cs="宋体"/>
                <w:sz w:val="24"/>
                <w:szCs w:val="24"/>
                <w:lang w:eastAsia="zh-CN"/>
              </w:rPr>
              <w:t>成员单位</w:t>
            </w:r>
            <w:r>
              <w:rPr>
                <w:rFonts w:hint="eastAsia" w:ascii="宋体" w:hAnsi="宋体" w:eastAsia="宋体" w:cs="宋体"/>
                <w:sz w:val="24"/>
                <w:szCs w:val="24"/>
                <w:lang w:val="en-US" w:eastAsia="zh-CN"/>
              </w:rPr>
              <w:t>，提供CNVD官网截图证明或证书复印件；</w:t>
            </w:r>
          </w:p>
          <w:p>
            <w:pPr>
              <w:keepNext w:val="0"/>
              <w:keepLines w:val="0"/>
              <w:widowControl/>
              <w:numPr>
                <w:ilvl w:val="0"/>
                <w:numId w:val="2"/>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产品具有中国信息安全认证中心《中国国家信息安全产品认证证书》</w:t>
            </w:r>
            <w:r>
              <w:rPr>
                <w:rFonts w:hint="eastAsia" w:ascii="宋体" w:hAnsi="宋体" w:eastAsia="宋体" w:cs="宋体"/>
                <w:sz w:val="24"/>
                <w:szCs w:val="24"/>
                <w:lang w:eastAsia="zh-CN"/>
              </w:rPr>
              <w:t>。</w:t>
            </w:r>
          </w:p>
          <w:p>
            <w:pPr>
              <w:pStyle w:val="5"/>
              <w:numPr>
                <w:ilvl w:val="0"/>
                <w:numId w:val="2"/>
              </w:numPr>
              <w:ind w:left="0" w:leftChars="0" w:firstLine="0" w:firstLineChars="0"/>
              <w:rPr>
                <w:rFonts w:hint="default" w:ascii="宋体" w:hAnsi="宋体" w:eastAsia="宋体" w:cs="宋体"/>
                <w:sz w:val="24"/>
                <w:szCs w:val="24"/>
                <w:lang w:eastAsia="zh-Hans"/>
              </w:rPr>
            </w:pPr>
            <w:r>
              <w:rPr>
                <w:rFonts w:hint="eastAsia" w:ascii="宋体" w:hAnsi="宋体" w:eastAsia="宋体" w:cs="宋体"/>
                <w:sz w:val="24"/>
                <w:szCs w:val="24"/>
              </w:rPr>
              <w:t>要求提供上门安装调试及工程师3年7×24小时免费上门服务，提供原厂出具的针对本项目的授权书、服务承诺函，提供3年免费软硬件质保</w:t>
            </w:r>
            <w:r>
              <w:rPr>
                <w:rFonts w:hint="eastAsia" w:ascii="宋体" w:hAnsi="宋体" w:eastAsia="宋体" w:cs="宋体"/>
                <w:sz w:val="24"/>
                <w:szCs w:val="24"/>
                <w:lang w:eastAsia="zh-CN"/>
              </w:rPr>
              <w:t>。</w:t>
            </w:r>
            <w:r>
              <w:rPr>
                <w:rFonts w:hint="eastAsia" w:ascii="宋体" w:hAnsi="宋体" w:eastAsia="宋体" w:cs="宋体"/>
                <w:sz w:val="24"/>
                <w:szCs w:val="24"/>
                <w:lang w:val="en-US" w:eastAsia="zh-Hans"/>
              </w:rPr>
              <w:t>并承诺在运维服务期间如出现网络安全事故</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承担相应责任</w:t>
            </w:r>
            <w:r>
              <w:rPr>
                <w:rFonts w:hint="default" w:ascii="宋体" w:hAnsi="宋体" w:eastAsia="宋体" w:cs="宋体"/>
                <w:sz w:val="24"/>
                <w:szCs w:val="24"/>
                <w:lang w:eastAsia="zh-Hans"/>
              </w:rPr>
              <w:t>。</w:t>
            </w:r>
          </w:p>
          <w:p>
            <w:pPr>
              <w:pStyle w:val="5"/>
              <w:numPr>
                <w:ilvl w:val="0"/>
                <w:numId w:val="0"/>
              </w:numPr>
              <w:ind w:leftChars="0"/>
              <w:rPr>
                <w:rFonts w:hint="eastAsia" w:ascii="宋体" w:hAnsi="宋体" w:eastAsia="宋体" w:cs="宋体"/>
                <w:sz w:val="24"/>
                <w:szCs w:val="24"/>
                <w:lang w:val="en-US" w:eastAsia="zh-CN"/>
              </w:rPr>
            </w:pPr>
          </w:p>
          <w:p>
            <w:pPr>
              <w:pStyle w:val="5"/>
              <w:rPr>
                <w:rFonts w:hint="eastAsia"/>
                <w:lang w:val="en-US" w:eastAsia="zh-CN"/>
              </w:rPr>
            </w:pPr>
            <w:r>
              <w:rPr>
                <w:rFonts w:hint="eastAsia"/>
                <w:lang w:val="en-US" w:eastAsia="zh-CN"/>
              </w:rPr>
              <w:t xml:space="preserve">  </w:t>
            </w:r>
          </w:p>
        </w:tc>
        <w:tc>
          <w:tcPr>
            <w:tcW w:w="825" w:type="dxa"/>
            <w:noWrap w:val="0"/>
            <w:vAlign w:val="center"/>
          </w:tcPr>
          <w:p>
            <w:pPr>
              <w:keepNext w:val="0"/>
              <w:keepLines w:val="0"/>
              <w:widowControl/>
              <w:numPr>
                <w:ilvl w:val="0"/>
                <w:numId w:val="0"/>
              </w:numPr>
              <w:suppressLineNumbers w:val="0"/>
              <w:jc w:val="center"/>
              <w:rPr>
                <w:rFonts w:hint="default" w:ascii="宋体" w:hAnsi="宋体" w:eastAsia="宋体" w:cs="宋体"/>
                <w:b w:val="0"/>
                <w:bCs w:val="0"/>
                <w:color w:val="000000"/>
                <w:kern w:val="0"/>
                <w:sz w:val="24"/>
                <w:szCs w:val="24"/>
                <w:vertAlign w:val="baseline"/>
                <w:lang w:val="en-US" w:eastAsia="zh-CN" w:bidi="ar"/>
              </w:rPr>
            </w:pPr>
          </w:p>
        </w:tc>
        <w:tc>
          <w:tcPr>
            <w:tcW w:w="795" w:type="dxa"/>
            <w:noWrap w:val="0"/>
            <w:vAlign w:val="top"/>
          </w:tcPr>
          <w:p>
            <w:pPr>
              <w:keepNext w:val="0"/>
              <w:keepLines w:val="0"/>
              <w:widowControl/>
              <w:numPr>
                <w:ilvl w:val="0"/>
                <w:numId w:val="0"/>
              </w:numPr>
              <w:suppressLineNumbers w:val="0"/>
              <w:jc w:val="left"/>
              <w:rPr>
                <w:rFonts w:hint="default" w:ascii="宋体" w:hAnsi="宋体" w:eastAsia="宋体" w:cs="宋体"/>
                <w:b/>
                <w:bCs/>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r>
              <w:rPr>
                <w:rFonts w:hint="eastAsia" w:ascii="宋体" w:hAnsi="宋体" w:cs="宋体"/>
                <w:b/>
                <w:bCs/>
                <w:color w:val="000000"/>
                <w:kern w:val="0"/>
                <w:sz w:val="24"/>
                <w:szCs w:val="24"/>
                <w:vertAlign w:val="baseline"/>
                <w:lang w:val="en-US" w:eastAsia="zh-CN" w:bidi="ar"/>
              </w:rPr>
              <w:t>3</w:t>
            </w:r>
          </w:p>
        </w:tc>
        <w:tc>
          <w:tcPr>
            <w:tcW w:w="870" w:type="dxa"/>
            <w:noWrap w:val="0"/>
            <w:vAlign w:val="center"/>
          </w:tcPr>
          <w:p>
            <w:pPr>
              <w:keepNext w:val="0"/>
              <w:keepLines w:val="0"/>
              <w:widowControl/>
              <w:numPr>
                <w:ilvl w:val="0"/>
                <w:numId w:val="0"/>
              </w:numPr>
              <w:suppressLineNumbers w:val="0"/>
              <w:jc w:val="center"/>
              <w:rPr>
                <w:rFonts w:hint="default"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防火墙</w:t>
            </w:r>
          </w:p>
        </w:tc>
        <w:tc>
          <w:tcPr>
            <w:tcW w:w="8085" w:type="dxa"/>
            <w:noWrap w:val="0"/>
            <w:vAlign w:val="top"/>
          </w:tcPr>
          <w:p>
            <w:pPr>
              <w:keepNext w:val="0"/>
              <w:keepLines w:val="0"/>
              <w:widowControl/>
              <w:numPr>
                <w:ilvl w:val="0"/>
                <w:numId w:val="3"/>
              </w:numPr>
              <w:suppressLineNumbers w:val="0"/>
              <w:jc w:val="left"/>
              <w:rPr>
                <w:rFonts w:hint="eastAsia" w:ascii="宋体" w:hAnsi="宋体" w:eastAsia="宋体" w:cs="宋体"/>
                <w:sz w:val="24"/>
                <w:szCs w:val="24"/>
              </w:rPr>
            </w:pPr>
            <w:r>
              <w:rPr>
                <w:rFonts w:hint="eastAsia" w:ascii="宋体" w:hAnsi="宋体" w:eastAsia="宋体" w:cs="宋体"/>
                <w:sz w:val="24"/>
                <w:szCs w:val="24"/>
              </w:rPr>
              <w:t>网络层吞吐量≥</w:t>
            </w:r>
            <w:r>
              <w:rPr>
                <w:rFonts w:hint="eastAsia" w:ascii="宋体" w:hAnsi="宋体" w:eastAsia="宋体" w:cs="宋体"/>
                <w:sz w:val="24"/>
                <w:szCs w:val="24"/>
                <w:lang w:val="en-US" w:eastAsia="zh-CN"/>
              </w:rPr>
              <w:t>20</w:t>
            </w:r>
            <w:r>
              <w:rPr>
                <w:rFonts w:hint="eastAsia" w:ascii="宋体" w:hAnsi="宋体" w:eastAsia="宋体" w:cs="宋体"/>
                <w:sz w:val="24"/>
                <w:szCs w:val="24"/>
              </w:rPr>
              <w:t>Gbps，应用层吞吐量≥</w:t>
            </w:r>
            <w:r>
              <w:rPr>
                <w:rFonts w:hint="eastAsia" w:ascii="宋体" w:hAnsi="宋体" w:eastAsia="宋体" w:cs="宋体"/>
                <w:sz w:val="24"/>
                <w:szCs w:val="24"/>
                <w:lang w:val="en-US" w:eastAsia="zh-CN"/>
              </w:rPr>
              <w:t>8G</w:t>
            </w:r>
            <w:r>
              <w:rPr>
                <w:rFonts w:hint="eastAsia" w:ascii="宋体" w:hAnsi="宋体" w:eastAsia="宋体" w:cs="宋体"/>
                <w:sz w:val="24"/>
                <w:szCs w:val="24"/>
              </w:rPr>
              <w:t>bps，并发连接数≥</w:t>
            </w:r>
            <w:r>
              <w:rPr>
                <w:rFonts w:hint="eastAsia" w:ascii="宋体" w:hAnsi="宋体" w:eastAsia="宋体" w:cs="宋体"/>
                <w:sz w:val="24"/>
                <w:szCs w:val="24"/>
                <w:lang w:val="en-US" w:eastAsia="zh-CN"/>
              </w:rPr>
              <w:t>220万</w:t>
            </w:r>
            <w:r>
              <w:rPr>
                <w:rFonts w:hint="eastAsia" w:ascii="宋体" w:hAnsi="宋体" w:eastAsia="宋体" w:cs="宋体"/>
                <w:sz w:val="24"/>
                <w:szCs w:val="24"/>
              </w:rPr>
              <w:t>，新建连接数（CPS）≥</w:t>
            </w:r>
            <w:r>
              <w:rPr>
                <w:rFonts w:hint="eastAsia" w:ascii="宋体" w:hAnsi="宋体" w:eastAsia="宋体" w:cs="宋体"/>
                <w:sz w:val="24"/>
                <w:szCs w:val="24"/>
                <w:lang w:val="en-US" w:eastAsia="zh-CN"/>
              </w:rPr>
              <w:t>15万</w:t>
            </w:r>
            <w:r>
              <w:rPr>
                <w:rFonts w:hint="eastAsia" w:ascii="宋体" w:hAnsi="宋体" w:eastAsia="宋体" w:cs="宋体"/>
                <w:sz w:val="24"/>
                <w:szCs w:val="24"/>
              </w:rPr>
              <w:t>，SSL最大加密流量≥</w:t>
            </w:r>
            <w:r>
              <w:rPr>
                <w:rFonts w:hint="eastAsia" w:ascii="宋体" w:hAnsi="宋体" w:eastAsia="宋体" w:cs="宋体"/>
                <w:sz w:val="24"/>
                <w:szCs w:val="24"/>
                <w:lang w:val="en-US" w:eastAsia="zh-CN"/>
              </w:rPr>
              <w:t>35</w:t>
            </w:r>
            <w:r>
              <w:rPr>
                <w:rFonts w:hint="eastAsia" w:ascii="宋体" w:hAnsi="宋体" w:eastAsia="宋体" w:cs="宋体"/>
                <w:sz w:val="24"/>
                <w:szCs w:val="24"/>
              </w:rPr>
              <w:t>0M，IPSec VPN最大接入数≥1000，IPSec VPN≥加密速度</w:t>
            </w:r>
            <w:r>
              <w:rPr>
                <w:rFonts w:hint="eastAsia" w:ascii="宋体" w:hAnsi="宋体" w:eastAsia="宋体" w:cs="宋体"/>
                <w:sz w:val="24"/>
                <w:szCs w:val="24"/>
                <w:lang w:val="en-US" w:eastAsia="zh-CN"/>
              </w:rPr>
              <w:t>400</w:t>
            </w:r>
            <w:r>
              <w:rPr>
                <w:rFonts w:hint="eastAsia" w:ascii="宋体" w:hAnsi="宋体" w:eastAsia="宋体" w:cs="宋体"/>
                <w:sz w:val="24"/>
                <w:szCs w:val="24"/>
              </w:rPr>
              <w:t xml:space="preserve">M。 </w:t>
            </w:r>
            <w:r>
              <w:rPr>
                <w:rFonts w:hint="eastAsia" w:ascii="宋体" w:hAnsi="宋体" w:eastAsia="宋体" w:cs="宋体"/>
                <w:color w:val="auto"/>
                <w:sz w:val="24"/>
                <w:szCs w:val="24"/>
              </w:rPr>
              <w:t>至少具备</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个千兆电口</w:t>
            </w:r>
            <w:r>
              <w:rPr>
                <w:rFonts w:hint="eastAsia" w:ascii="宋体" w:hAnsi="宋体" w:eastAsia="宋体" w:cs="宋体"/>
                <w:color w:val="auto"/>
                <w:sz w:val="24"/>
                <w:szCs w:val="24"/>
                <w:lang w:eastAsia="zh-CN"/>
              </w:rPr>
              <w:t>，</w:t>
            </w:r>
            <w:r>
              <w:rPr>
                <w:rFonts w:hint="eastAsia" w:ascii="宋体" w:hAnsi="宋体" w:eastAsia="宋体" w:cs="宋体"/>
                <w:sz w:val="24"/>
                <w:szCs w:val="24"/>
                <w:lang w:val="en-US" w:eastAsia="zh-CN"/>
              </w:rPr>
              <w:t>2个万兆光口</w:t>
            </w:r>
            <w:r>
              <w:rPr>
                <w:rFonts w:hint="eastAsia" w:ascii="宋体" w:hAnsi="宋体" w:eastAsia="宋体" w:cs="宋体"/>
                <w:b w:val="0"/>
                <w:bCs w:val="0"/>
                <w:color w:val="000000"/>
                <w:kern w:val="0"/>
                <w:sz w:val="24"/>
                <w:szCs w:val="24"/>
                <w:vertAlign w:val="baseline"/>
                <w:lang w:val="en-US" w:eastAsia="zh-CN" w:bidi="ar"/>
              </w:rPr>
              <w:t>SFP+</w:t>
            </w:r>
            <w:r>
              <w:rPr>
                <w:rFonts w:hint="eastAsia" w:ascii="宋体" w:hAnsi="宋体" w:cs="宋体"/>
                <w:b w:val="0"/>
                <w:bCs w:val="0"/>
                <w:color w:val="000000"/>
                <w:kern w:val="0"/>
                <w:sz w:val="24"/>
                <w:szCs w:val="24"/>
                <w:vertAlign w:val="baseline"/>
                <w:lang w:val="en-US" w:eastAsia="zh-CN" w:bidi="ar"/>
              </w:rPr>
              <w:t>（含满配光模块），</w:t>
            </w:r>
            <w:r>
              <w:rPr>
                <w:rFonts w:hint="eastAsia" w:ascii="宋体" w:hAnsi="宋体" w:eastAsia="宋体" w:cs="宋体"/>
                <w:sz w:val="24"/>
                <w:szCs w:val="24"/>
              </w:rPr>
              <w:t>2个USB口和1个RJ45串口，交流冗余电源（220V）</w:t>
            </w:r>
            <w:r>
              <w:rPr>
                <w:rFonts w:hint="eastAsia" w:ascii="宋体" w:hAnsi="宋体" w:cs="宋体"/>
                <w:sz w:val="24"/>
                <w:szCs w:val="24"/>
                <w:lang w:eastAsia="zh-CN"/>
              </w:rPr>
              <w:t>，</w:t>
            </w:r>
            <w:r>
              <w:rPr>
                <w:rFonts w:hint="eastAsia" w:ascii="宋体" w:hAnsi="宋体" w:eastAsia="宋体" w:cs="宋体"/>
                <w:sz w:val="24"/>
                <w:szCs w:val="24"/>
              </w:rPr>
              <w:t>标准机架设备</w:t>
            </w:r>
            <w:r>
              <w:rPr>
                <w:rFonts w:hint="eastAsia" w:ascii="宋体" w:hAnsi="宋体" w:cs="宋体"/>
                <w:sz w:val="24"/>
                <w:szCs w:val="24"/>
                <w:lang w:eastAsia="zh-CN"/>
              </w:rPr>
              <w:t>；</w:t>
            </w:r>
          </w:p>
          <w:p>
            <w:pPr>
              <w:keepNext w:val="0"/>
              <w:keepLines w:val="0"/>
              <w:widowControl/>
              <w:numPr>
                <w:ilvl w:val="0"/>
                <w:numId w:val="3"/>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产品采用自主知识产权的专用操作系统，应用多核并行处理技术保障产品处理性能，需提供公安部计算机信息系统安全产品质量监督检验中心、中国信息安全测评中心、中华人民共和国国家版权局、公安部信息安全产品检测中心之中任意一家检测机构出具关于“多核并行安全操作系统”的证书</w:t>
            </w:r>
            <w:r>
              <w:rPr>
                <w:rFonts w:hint="eastAsia" w:ascii="宋体" w:hAnsi="宋体" w:eastAsia="宋体" w:cs="宋体"/>
                <w:sz w:val="24"/>
                <w:szCs w:val="24"/>
                <w:lang w:eastAsia="zh-CN"/>
              </w:rPr>
              <w:t>；</w:t>
            </w:r>
          </w:p>
          <w:p>
            <w:pPr>
              <w:keepNext w:val="0"/>
              <w:keepLines w:val="0"/>
              <w:widowControl/>
              <w:numPr>
                <w:ilvl w:val="0"/>
                <w:numId w:val="3"/>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支持链路健康检查功能，支持基于多种协议对链路可用性进行探测，探测协议至少包括DNS解析、ARP探测和PING方式</w:t>
            </w:r>
            <w:r>
              <w:rPr>
                <w:rFonts w:hint="eastAsia" w:ascii="宋体" w:hAnsi="宋体" w:eastAsia="宋体" w:cs="宋体"/>
                <w:sz w:val="24"/>
                <w:szCs w:val="24"/>
                <w:lang w:eastAsia="zh-CN"/>
              </w:rPr>
              <w:t>；</w:t>
            </w:r>
          </w:p>
          <w:p>
            <w:pPr>
              <w:keepNext w:val="0"/>
              <w:keepLines w:val="0"/>
              <w:widowControl/>
              <w:numPr>
                <w:ilvl w:val="0"/>
                <w:numId w:val="3"/>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产品支持策略路由负载，支持基于服务、ISP地址、应用等维度进行智能选路，保证关键业务流量通过优质链路转发，支持加权流量、带宽比例、线路优先等负载均衡调度算法。</w:t>
            </w:r>
            <w:r>
              <w:rPr>
                <w:rFonts w:hint="eastAsia" w:ascii="宋体" w:hAnsi="宋体" w:eastAsia="宋体" w:cs="宋体"/>
                <w:b w:val="0"/>
                <w:bCs w:val="0"/>
                <w:color w:val="000000"/>
                <w:kern w:val="0"/>
                <w:sz w:val="24"/>
                <w:szCs w:val="24"/>
                <w:vertAlign w:val="baseline"/>
                <w:lang w:val="en-US" w:eastAsia="zh-CN" w:bidi="ar"/>
              </w:rPr>
              <w:t>（需提供相关功能截图证明）</w:t>
            </w:r>
            <w:r>
              <w:rPr>
                <w:rFonts w:hint="eastAsia" w:ascii="宋体" w:hAnsi="宋体" w:eastAsia="宋体" w:cs="宋体"/>
                <w:sz w:val="24"/>
                <w:szCs w:val="24"/>
              </w:rPr>
              <w:t>；</w:t>
            </w:r>
          </w:p>
          <w:p>
            <w:pPr>
              <w:keepNext w:val="0"/>
              <w:keepLines w:val="0"/>
              <w:widowControl/>
              <w:numPr>
                <w:ilvl w:val="0"/>
                <w:numId w:val="3"/>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产品支持僵尸主机检测功能，产品预定义特征库超过110万种，可识别主机的异常外联行为</w:t>
            </w:r>
            <w:r>
              <w:rPr>
                <w:rFonts w:hint="eastAsia" w:ascii="宋体" w:hAnsi="宋体" w:cs="宋体"/>
                <w:sz w:val="24"/>
                <w:szCs w:val="24"/>
                <w:lang w:eastAsia="zh-CN"/>
              </w:rPr>
              <w:t>；</w:t>
            </w:r>
          </w:p>
          <w:p>
            <w:pPr>
              <w:keepNext w:val="0"/>
              <w:keepLines w:val="0"/>
              <w:widowControl/>
              <w:numPr>
                <w:ilvl w:val="0"/>
                <w:numId w:val="3"/>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产品支持管理员双因素认证功能，用户通过用户名/密码和Key等不同方式登陆产品管理界面</w:t>
            </w:r>
            <w:r>
              <w:rPr>
                <w:rFonts w:hint="eastAsia" w:ascii="宋体" w:hAnsi="宋体" w:cs="宋体"/>
                <w:sz w:val="24"/>
                <w:szCs w:val="24"/>
                <w:lang w:eastAsia="zh-CN"/>
              </w:rPr>
              <w:t>；</w:t>
            </w:r>
          </w:p>
          <w:p>
            <w:pPr>
              <w:keepNext w:val="0"/>
              <w:keepLines w:val="0"/>
              <w:widowControl/>
              <w:numPr>
                <w:ilvl w:val="0"/>
                <w:numId w:val="3"/>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★产品支持勒索病毒检测与防御功能，为保障勒索病毒的防御效果，所投产品必须提供具备CMA（中国国家认证认可监督管理委员会）认证的第三方权威机构关于“勒索软件通信防护”功能项的产品检测报告</w:t>
            </w:r>
            <w:r>
              <w:rPr>
                <w:rFonts w:hint="eastAsia" w:ascii="宋体" w:hAnsi="宋体" w:cs="宋体"/>
                <w:sz w:val="24"/>
                <w:szCs w:val="24"/>
                <w:lang w:eastAsia="zh-CN"/>
              </w:rPr>
              <w:t>；</w:t>
            </w:r>
          </w:p>
          <w:p>
            <w:pPr>
              <w:keepNext w:val="0"/>
              <w:keepLines w:val="0"/>
              <w:widowControl/>
              <w:numPr>
                <w:ilvl w:val="0"/>
                <w:numId w:val="3"/>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支持IPSec VPN智能选路功能，根据线路质量实现自动链路切换。（</w:t>
            </w:r>
            <w:r>
              <w:rPr>
                <w:rFonts w:hint="eastAsia" w:ascii="宋体" w:hAnsi="宋体" w:eastAsia="宋体" w:cs="宋体"/>
                <w:bCs/>
                <w:kern w:val="0"/>
                <w:sz w:val="24"/>
                <w:szCs w:val="24"/>
              </w:rPr>
              <w:t>需提供产品功能截图证明）</w:t>
            </w:r>
            <w:r>
              <w:rPr>
                <w:rFonts w:hint="eastAsia" w:ascii="宋体" w:hAnsi="宋体" w:cs="宋体"/>
                <w:bCs/>
                <w:kern w:val="0"/>
                <w:sz w:val="24"/>
                <w:szCs w:val="24"/>
                <w:lang w:eastAsia="zh-CN"/>
              </w:rPr>
              <w:t>；</w:t>
            </w:r>
          </w:p>
          <w:p>
            <w:pPr>
              <w:keepNext w:val="0"/>
              <w:keepLines w:val="0"/>
              <w:widowControl/>
              <w:numPr>
                <w:ilvl w:val="0"/>
                <w:numId w:val="3"/>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厂商为国家信息安全漏洞共享平台CNVD技术组</w:t>
            </w:r>
            <w:r>
              <w:rPr>
                <w:rFonts w:hint="eastAsia" w:ascii="宋体" w:hAnsi="宋体" w:cs="宋体"/>
                <w:sz w:val="24"/>
                <w:szCs w:val="24"/>
                <w:lang w:eastAsia="zh-CN"/>
              </w:rPr>
              <w:t>成员单位</w:t>
            </w:r>
            <w:r>
              <w:rPr>
                <w:rFonts w:hint="eastAsia" w:ascii="宋体" w:hAnsi="宋体" w:eastAsia="宋体" w:cs="宋体"/>
                <w:sz w:val="24"/>
                <w:szCs w:val="24"/>
              </w:rPr>
              <w:t>，提供CNVD官网截图证明或证书复印件；</w:t>
            </w:r>
          </w:p>
          <w:p>
            <w:pPr>
              <w:keepNext w:val="0"/>
              <w:keepLines w:val="0"/>
              <w:widowControl/>
              <w:numPr>
                <w:ilvl w:val="0"/>
                <w:numId w:val="3"/>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sz w:val="24"/>
                <w:szCs w:val="24"/>
              </w:rPr>
              <w:t>厂商应是国家互联网应急中心（CNCERT）服务支撑单</w:t>
            </w:r>
            <w:r>
              <w:rPr>
                <w:rFonts w:hint="eastAsia" w:ascii="宋体" w:hAnsi="宋体" w:cs="宋体"/>
                <w:sz w:val="24"/>
                <w:szCs w:val="24"/>
                <w:lang w:eastAsia="zh-CN"/>
              </w:rPr>
              <w:t>位</w:t>
            </w:r>
            <w:r>
              <w:rPr>
                <w:rFonts w:hint="eastAsia" w:ascii="宋体" w:hAnsi="宋体" w:eastAsia="宋体" w:cs="宋体"/>
                <w:sz w:val="24"/>
                <w:szCs w:val="24"/>
              </w:rPr>
              <w:t>，提供相关证明材料</w:t>
            </w:r>
            <w:r>
              <w:rPr>
                <w:rFonts w:hint="default" w:ascii="宋体" w:hAnsi="宋体" w:eastAsia="宋体" w:cs="宋体"/>
                <w:sz w:val="24"/>
                <w:szCs w:val="24"/>
                <w:lang w:eastAsia="zh-CN"/>
              </w:rPr>
              <w:t>。</w:t>
            </w:r>
          </w:p>
          <w:p>
            <w:pPr>
              <w:keepNext w:val="0"/>
              <w:keepLines w:val="0"/>
              <w:widowControl/>
              <w:numPr>
                <w:ilvl w:val="0"/>
                <w:numId w:val="3"/>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sz w:val="24"/>
                <w:szCs w:val="24"/>
              </w:rPr>
              <w:t>要求提供上门安装调试及工程师3年7×24小时免费上门服务，提供原厂出具的针对本项目的授权书、服务承诺函，提供3年免费软硬件质保</w:t>
            </w:r>
            <w:r>
              <w:rPr>
                <w:rFonts w:hint="eastAsia" w:ascii="宋体" w:hAnsi="宋体" w:cs="宋体"/>
                <w:sz w:val="24"/>
                <w:szCs w:val="24"/>
                <w:lang w:eastAsia="zh-CN"/>
              </w:rPr>
              <w:t>、入侵检测、病毒库升级服务</w:t>
            </w:r>
            <w:r>
              <w:rPr>
                <w:rFonts w:hint="eastAsia" w:ascii="宋体" w:hAnsi="宋体" w:eastAsia="宋体" w:cs="宋体"/>
                <w:sz w:val="24"/>
                <w:szCs w:val="24"/>
                <w:lang w:eastAsia="zh-CN"/>
              </w:rPr>
              <w:t>。</w:t>
            </w:r>
            <w:r>
              <w:rPr>
                <w:rFonts w:hint="eastAsia" w:ascii="宋体" w:hAnsi="宋体" w:eastAsia="宋体" w:cs="宋体"/>
                <w:sz w:val="24"/>
                <w:szCs w:val="24"/>
                <w:lang w:val="en-US" w:eastAsia="zh-Hans"/>
              </w:rPr>
              <w:t>并承诺在运维服务期间如出现网络安全事故</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承担相应责任</w:t>
            </w:r>
            <w:r>
              <w:rPr>
                <w:rFonts w:hint="default" w:ascii="宋体" w:hAnsi="宋体" w:eastAsia="宋体" w:cs="宋体"/>
                <w:sz w:val="24"/>
                <w:szCs w:val="24"/>
                <w:lang w:eastAsia="zh-Hans"/>
              </w:rPr>
              <w:t>。</w:t>
            </w:r>
          </w:p>
        </w:tc>
        <w:tc>
          <w:tcPr>
            <w:tcW w:w="825" w:type="dxa"/>
            <w:noWrap w:val="0"/>
            <w:vAlign w:val="center"/>
          </w:tcPr>
          <w:p>
            <w:pPr>
              <w:keepNext w:val="0"/>
              <w:keepLines w:val="0"/>
              <w:widowControl/>
              <w:numPr>
                <w:ilvl w:val="0"/>
                <w:numId w:val="0"/>
              </w:numPr>
              <w:suppressLineNumbers w:val="0"/>
              <w:jc w:val="center"/>
              <w:rPr>
                <w:rFonts w:hint="default" w:ascii="宋体" w:hAnsi="宋体" w:eastAsia="宋体" w:cs="宋体"/>
                <w:b w:val="0"/>
                <w:bCs w:val="0"/>
                <w:color w:val="000000"/>
                <w:kern w:val="0"/>
                <w:sz w:val="24"/>
                <w:szCs w:val="24"/>
                <w:vertAlign w:val="baseline"/>
                <w:lang w:val="en-US" w:eastAsia="zh-CN" w:bidi="ar"/>
              </w:rPr>
            </w:pPr>
          </w:p>
        </w:tc>
        <w:tc>
          <w:tcPr>
            <w:tcW w:w="795" w:type="dxa"/>
            <w:noWrap w:val="0"/>
            <w:vAlign w:val="top"/>
          </w:tcPr>
          <w:p>
            <w:pPr>
              <w:keepNext w:val="0"/>
              <w:keepLines w:val="0"/>
              <w:widowControl/>
              <w:numPr>
                <w:ilvl w:val="0"/>
                <w:numId w:val="0"/>
              </w:numPr>
              <w:suppressLineNumbers w:val="0"/>
              <w:jc w:val="left"/>
              <w:rPr>
                <w:rFonts w:hint="default" w:ascii="宋体" w:hAnsi="宋体" w:eastAsia="宋体" w:cs="宋体"/>
                <w:b/>
                <w:bCs/>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r>
              <w:rPr>
                <w:rFonts w:hint="eastAsia" w:ascii="宋体" w:hAnsi="宋体" w:cs="宋体"/>
                <w:b/>
                <w:bCs/>
                <w:color w:val="000000"/>
                <w:kern w:val="0"/>
                <w:sz w:val="24"/>
                <w:szCs w:val="24"/>
                <w:vertAlign w:val="baseline"/>
                <w:lang w:val="en-US" w:eastAsia="zh-CN" w:bidi="ar"/>
              </w:rPr>
              <w:t>4</w:t>
            </w:r>
          </w:p>
        </w:tc>
        <w:tc>
          <w:tcPr>
            <w:tcW w:w="870" w:type="dxa"/>
            <w:noWrap w:val="0"/>
            <w:vAlign w:val="center"/>
          </w:tcPr>
          <w:p>
            <w:pPr>
              <w:keepNext w:val="0"/>
              <w:keepLines w:val="0"/>
              <w:widowControl/>
              <w:numPr>
                <w:ilvl w:val="0"/>
                <w:numId w:val="0"/>
              </w:numPr>
              <w:suppressLineNumbers w:val="0"/>
              <w:jc w:val="center"/>
              <w:rPr>
                <w:rFonts w:hint="default"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web应用防护</w:t>
            </w:r>
            <w:r>
              <w:rPr>
                <w:rFonts w:hint="eastAsia" w:ascii="宋体" w:hAnsi="宋体" w:cs="宋体"/>
                <w:b w:val="0"/>
                <w:bCs w:val="0"/>
                <w:color w:val="000000"/>
                <w:kern w:val="0"/>
                <w:sz w:val="24"/>
                <w:szCs w:val="24"/>
                <w:vertAlign w:val="baseline"/>
                <w:lang w:val="en-US" w:eastAsia="zh-CN" w:bidi="ar"/>
              </w:rPr>
              <w:t>墙设备</w:t>
            </w:r>
          </w:p>
        </w:tc>
        <w:tc>
          <w:tcPr>
            <w:tcW w:w="8085" w:type="dxa"/>
            <w:noWrap w:val="0"/>
            <w:vAlign w:val="top"/>
          </w:tcPr>
          <w:p>
            <w:pPr>
              <w:keepNext w:val="0"/>
              <w:keepLines w:val="0"/>
              <w:widowControl/>
              <w:numPr>
                <w:ilvl w:val="0"/>
                <w:numId w:val="4"/>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网络层吞吐量</w:t>
            </w:r>
            <w:r>
              <w:rPr>
                <w:rFonts w:hint="eastAsia" w:ascii="宋体" w:hAnsi="宋体" w:eastAsia="宋体" w:cs="宋体"/>
                <w:sz w:val="24"/>
                <w:szCs w:val="24"/>
              </w:rPr>
              <w:t>≥</w:t>
            </w:r>
            <w:r>
              <w:rPr>
                <w:rFonts w:hint="eastAsia" w:ascii="宋体" w:hAnsi="宋体" w:eastAsia="宋体" w:cs="宋体"/>
                <w:b w:val="0"/>
                <w:bCs w:val="0"/>
                <w:color w:val="000000"/>
                <w:kern w:val="0"/>
                <w:sz w:val="24"/>
                <w:szCs w:val="24"/>
                <w:vertAlign w:val="baseline"/>
                <w:lang w:val="en-US" w:eastAsia="zh-CN" w:bidi="ar"/>
              </w:rPr>
              <w:t>20Gbps，HTTP应用层吞吐量</w:t>
            </w:r>
            <w:r>
              <w:rPr>
                <w:rFonts w:hint="eastAsia" w:ascii="宋体" w:hAnsi="宋体" w:eastAsia="宋体" w:cs="宋体"/>
                <w:sz w:val="24"/>
                <w:szCs w:val="24"/>
              </w:rPr>
              <w:t>≥</w:t>
            </w:r>
            <w:r>
              <w:rPr>
                <w:rFonts w:hint="eastAsia" w:ascii="宋体" w:hAnsi="宋体" w:eastAsia="宋体" w:cs="宋体"/>
                <w:b w:val="0"/>
                <w:bCs w:val="0"/>
                <w:color w:val="000000"/>
                <w:kern w:val="0"/>
                <w:sz w:val="24"/>
                <w:szCs w:val="24"/>
                <w:vertAlign w:val="baseline"/>
                <w:lang w:val="en-US" w:eastAsia="zh-CN" w:bidi="ar"/>
              </w:rPr>
              <w:t>1Gbps，HTTP新建连接数</w:t>
            </w:r>
            <w:r>
              <w:rPr>
                <w:rFonts w:hint="eastAsia" w:ascii="宋体" w:hAnsi="宋体" w:eastAsia="宋体" w:cs="宋体"/>
                <w:sz w:val="24"/>
                <w:szCs w:val="24"/>
              </w:rPr>
              <w:t>≥</w:t>
            </w:r>
            <w:r>
              <w:rPr>
                <w:rFonts w:hint="eastAsia" w:ascii="宋体" w:hAnsi="宋体" w:eastAsia="宋体" w:cs="宋体"/>
                <w:b w:val="0"/>
                <w:bCs w:val="0"/>
                <w:color w:val="000000"/>
                <w:kern w:val="0"/>
                <w:sz w:val="24"/>
                <w:szCs w:val="24"/>
                <w:vertAlign w:val="baseline"/>
                <w:lang w:val="en-US" w:eastAsia="zh-CN" w:bidi="ar"/>
              </w:rPr>
              <w:t>150000，HTTP并发连接数</w:t>
            </w:r>
            <w:r>
              <w:rPr>
                <w:rFonts w:hint="eastAsia" w:ascii="宋体" w:hAnsi="宋体" w:eastAsia="宋体" w:cs="宋体"/>
                <w:sz w:val="24"/>
                <w:szCs w:val="24"/>
              </w:rPr>
              <w:t>≥</w:t>
            </w:r>
            <w:r>
              <w:rPr>
                <w:rFonts w:hint="eastAsia" w:ascii="宋体" w:hAnsi="宋体" w:eastAsia="宋体" w:cs="宋体"/>
                <w:b w:val="0"/>
                <w:bCs w:val="0"/>
                <w:color w:val="000000"/>
                <w:kern w:val="0"/>
                <w:sz w:val="24"/>
                <w:szCs w:val="24"/>
                <w:vertAlign w:val="baseline"/>
                <w:lang w:val="en-US" w:eastAsia="zh-CN" w:bidi="ar"/>
              </w:rPr>
              <w:t>2200000。规格：内存</w:t>
            </w:r>
            <w:r>
              <w:rPr>
                <w:rFonts w:hint="eastAsia" w:ascii="宋体" w:hAnsi="宋体" w:eastAsia="宋体" w:cs="宋体"/>
                <w:sz w:val="24"/>
                <w:szCs w:val="24"/>
              </w:rPr>
              <w:t>≥</w:t>
            </w:r>
            <w:r>
              <w:rPr>
                <w:rFonts w:hint="eastAsia" w:ascii="宋体" w:hAnsi="宋体" w:eastAsia="宋体" w:cs="宋体"/>
                <w:b w:val="0"/>
                <w:bCs w:val="0"/>
                <w:color w:val="000000"/>
                <w:kern w:val="0"/>
                <w:sz w:val="24"/>
                <w:szCs w:val="24"/>
                <w:vertAlign w:val="baseline"/>
                <w:lang w:val="en-US" w:eastAsia="zh-CN" w:bidi="ar"/>
              </w:rPr>
              <w:t>8G，硬盘容量</w:t>
            </w:r>
            <w:r>
              <w:rPr>
                <w:rFonts w:hint="eastAsia" w:ascii="宋体" w:hAnsi="宋体" w:eastAsia="宋体" w:cs="宋体"/>
                <w:sz w:val="24"/>
                <w:szCs w:val="24"/>
              </w:rPr>
              <w:t>≥</w:t>
            </w:r>
            <w:r>
              <w:rPr>
                <w:rFonts w:hint="eastAsia" w:ascii="宋体" w:hAnsi="宋体" w:eastAsia="宋体" w:cs="宋体"/>
                <w:b w:val="0"/>
                <w:bCs w:val="0"/>
                <w:color w:val="000000"/>
                <w:kern w:val="0"/>
                <w:sz w:val="24"/>
                <w:szCs w:val="24"/>
                <w:vertAlign w:val="baseline"/>
                <w:lang w:val="en-US" w:eastAsia="zh-CN" w:bidi="ar"/>
              </w:rPr>
              <w:t>128GB，接口至少6千兆电口+2万兆光口SFP+</w:t>
            </w:r>
            <w:r>
              <w:rPr>
                <w:rFonts w:hint="eastAsia" w:ascii="宋体" w:hAnsi="宋体" w:cs="宋体"/>
                <w:b w:val="0"/>
                <w:bCs w:val="0"/>
                <w:color w:val="000000"/>
                <w:kern w:val="0"/>
                <w:sz w:val="24"/>
                <w:szCs w:val="24"/>
                <w:vertAlign w:val="baseline"/>
                <w:lang w:val="en-US" w:eastAsia="zh-CN" w:bidi="ar"/>
              </w:rPr>
              <w:t>（含满配光模块），交流冗余电源（220V）</w:t>
            </w:r>
            <w:r>
              <w:rPr>
                <w:rFonts w:hint="eastAsia" w:ascii="宋体" w:hAnsi="宋体" w:cs="宋体"/>
                <w:sz w:val="24"/>
                <w:szCs w:val="24"/>
                <w:lang w:eastAsia="zh-CN"/>
              </w:rPr>
              <w:t>，</w:t>
            </w:r>
            <w:r>
              <w:rPr>
                <w:rFonts w:hint="eastAsia" w:ascii="宋体" w:hAnsi="宋体" w:eastAsia="宋体" w:cs="宋体"/>
                <w:sz w:val="24"/>
                <w:szCs w:val="24"/>
              </w:rPr>
              <w:t>标准机架设备</w:t>
            </w:r>
            <w:r>
              <w:rPr>
                <w:rFonts w:hint="eastAsia" w:ascii="宋体" w:hAnsi="宋体" w:cs="宋体"/>
                <w:sz w:val="24"/>
                <w:szCs w:val="24"/>
                <w:lang w:eastAsia="zh-CN"/>
              </w:rPr>
              <w:t>；</w:t>
            </w:r>
          </w:p>
          <w:p>
            <w:pPr>
              <w:keepNext w:val="0"/>
              <w:keepLines w:val="0"/>
              <w:widowControl/>
              <w:numPr>
                <w:ilvl w:val="0"/>
                <w:numId w:val="4"/>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★产品采用多核并行处理架构，提供中国信息安全测评中心、公安部信息安全产品检测中心、中国软件评测中心、国家版权局之中任意一家机构出具的关于“多核并行安全操作系统”的证书或测试报告；</w:t>
            </w:r>
          </w:p>
          <w:p>
            <w:pPr>
              <w:keepNext w:val="0"/>
              <w:keepLines w:val="0"/>
              <w:widowControl/>
              <w:numPr>
                <w:ilvl w:val="0"/>
                <w:numId w:val="4"/>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sz w:val="24"/>
                <w:szCs w:val="24"/>
              </w:rPr>
              <w:t>支持虚拟网线部署、透明部署、路由部署、旁路镜像等多种部署方式，适应复杂使用环境的接入要求</w:t>
            </w:r>
            <w:r>
              <w:rPr>
                <w:rFonts w:hint="eastAsia" w:ascii="宋体" w:hAnsi="宋体" w:eastAsia="宋体" w:cs="宋体"/>
                <w:sz w:val="24"/>
                <w:szCs w:val="24"/>
                <w:lang w:eastAsia="zh-CN"/>
              </w:rPr>
              <w:t>；</w:t>
            </w:r>
          </w:p>
          <w:p>
            <w:pPr>
              <w:keepNext w:val="0"/>
              <w:keepLines w:val="0"/>
              <w:widowControl/>
              <w:numPr>
                <w:ilvl w:val="0"/>
                <w:numId w:val="4"/>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sz w:val="24"/>
                <w:szCs w:val="24"/>
              </w:rPr>
              <w:t>支持识别HTTP异常，包含HTTP方法过滤、HTTP头部字段Referer、User-Agent等注入检测、Host检测、URL溢出检测、POST实体溢出检测、HTTP头部溢出检测、range字段防护、multipart头部字段异常检测、高危头部重复检测</w:t>
            </w:r>
            <w:r>
              <w:rPr>
                <w:rFonts w:hint="eastAsia" w:ascii="宋体" w:hAnsi="宋体" w:eastAsia="宋体" w:cs="宋体"/>
                <w:sz w:val="24"/>
                <w:szCs w:val="24"/>
                <w:lang w:eastAsia="zh-CN"/>
              </w:rPr>
              <w:t>；</w:t>
            </w:r>
          </w:p>
          <w:p>
            <w:pPr>
              <w:keepNext w:val="0"/>
              <w:keepLines w:val="0"/>
              <w:widowControl/>
              <w:numPr>
                <w:ilvl w:val="0"/>
                <w:numId w:val="4"/>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sz w:val="24"/>
                <w:szCs w:val="24"/>
              </w:rPr>
              <w:t>支持超过6200种防护规则。其中Web应用防护规则超过4900种，Web应用漏洞攻击防护规则超过1300种。</w:t>
            </w:r>
          </w:p>
          <w:p>
            <w:pPr>
              <w:keepNext w:val="0"/>
              <w:keepLines w:val="0"/>
              <w:widowControl/>
              <w:numPr>
                <w:ilvl w:val="0"/>
                <w:numId w:val="4"/>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支持漏洞防扫描，包括404页面检测、WAF规则拦截频率检测、目录访问频率检测、使用不常见的HTTP请求方法、匹配强弱规则扫描、敏感文件扫描等扫描行为特征，支持自定义封锁扫描IP封锁时间、支持隐藏服务器信息（需提供相关功能截图证明）；</w:t>
            </w:r>
          </w:p>
          <w:p>
            <w:pPr>
              <w:keepNext w:val="0"/>
              <w:keepLines w:val="0"/>
              <w:widowControl/>
              <w:numPr>
                <w:ilvl w:val="0"/>
                <w:numId w:val="4"/>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sz w:val="24"/>
                <w:szCs w:val="24"/>
              </w:rPr>
              <w:t>产品原生支持BOT防护功能，可过滤机器人自动化流量，非联动其他组件或产品，并支持用户自定义URL保护范围和保护阈值。支持自定义开关获取访问者设备指纹信息</w:t>
            </w:r>
            <w:r>
              <w:rPr>
                <w:rFonts w:hint="eastAsia" w:ascii="宋体" w:hAnsi="宋体" w:eastAsia="宋体" w:cs="宋体"/>
                <w:b w:val="0"/>
                <w:bCs w:val="0"/>
                <w:color w:val="000000"/>
                <w:kern w:val="0"/>
                <w:sz w:val="24"/>
                <w:szCs w:val="24"/>
                <w:vertAlign w:val="baseline"/>
                <w:lang w:val="en-US" w:eastAsia="zh-CN" w:bidi="ar"/>
              </w:rPr>
              <w:t>（需提供相关功能截图证明）</w:t>
            </w:r>
            <w:r>
              <w:rPr>
                <w:rFonts w:hint="eastAsia" w:ascii="宋体" w:hAnsi="宋体" w:eastAsia="宋体" w:cs="宋体"/>
                <w:sz w:val="24"/>
                <w:szCs w:val="24"/>
              </w:rPr>
              <w:t>；</w:t>
            </w:r>
          </w:p>
          <w:p>
            <w:pPr>
              <w:keepNext w:val="0"/>
              <w:keepLines w:val="0"/>
              <w:widowControl/>
              <w:numPr>
                <w:ilvl w:val="0"/>
                <w:numId w:val="4"/>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支持通过被动扫描功能，业务系统进行黑链检测、Webshell检测、漏洞风险检测、配置风险检测、弱口令账户检测（需提供相关功能截图证明）；</w:t>
            </w:r>
          </w:p>
          <w:p>
            <w:pPr>
              <w:keepNext w:val="0"/>
              <w:keepLines w:val="0"/>
              <w:widowControl/>
              <w:numPr>
                <w:ilvl w:val="0"/>
                <w:numId w:val="4"/>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sz w:val="24"/>
                <w:szCs w:val="24"/>
              </w:rPr>
              <w:t>支持针对业务风险汇总，支持展示业务安全状态分布，包括已失陷业务、正在遭受攻击的业务、存在漏洞但暂时未被攻击的业务，以及最近7天内的漏洞风险分布情况</w:t>
            </w:r>
            <w:r>
              <w:rPr>
                <w:rFonts w:hint="eastAsia" w:ascii="宋体" w:hAnsi="宋体" w:eastAsia="宋体" w:cs="宋体"/>
                <w:sz w:val="24"/>
                <w:szCs w:val="24"/>
                <w:lang w:eastAsia="zh-CN"/>
              </w:rPr>
              <w:t>；</w:t>
            </w:r>
          </w:p>
          <w:p>
            <w:pPr>
              <w:keepNext w:val="0"/>
              <w:keepLines w:val="0"/>
              <w:widowControl/>
              <w:numPr>
                <w:ilvl w:val="0"/>
                <w:numId w:val="4"/>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sz w:val="24"/>
                <w:szCs w:val="24"/>
              </w:rPr>
              <w:t>支持以安全策略模板方式快速部署安全策略，安全策略模板支持默认模板和自定义模板等多种格式</w:t>
            </w:r>
            <w:r>
              <w:rPr>
                <w:rFonts w:hint="eastAsia" w:ascii="宋体" w:hAnsi="宋体" w:eastAsia="宋体" w:cs="宋体"/>
                <w:sz w:val="24"/>
                <w:szCs w:val="24"/>
                <w:lang w:eastAsia="zh-CN"/>
              </w:rPr>
              <w:t>；</w:t>
            </w:r>
          </w:p>
          <w:p>
            <w:pPr>
              <w:keepNext w:val="0"/>
              <w:keepLines w:val="0"/>
              <w:widowControl/>
              <w:numPr>
                <w:ilvl w:val="0"/>
                <w:numId w:val="4"/>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要求所投产品具备“Web应用防护系统”级别为EAL3+的信息技术产品安全测评证书,提供有效证书复印件</w:t>
            </w:r>
            <w:r>
              <w:rPr>
                <w:rFonts w:hint="eastAsia" w:ascii="宋体" w:hAnsi="宋体" w:cs="宋体"/>
                <w:b w:val="0"/>
                <w:bCs w:val="0"/>
                <w:color w:val="000000"/>
                <w:kern w:val="0"/>
                <w:sz w:val="24"/>
                <w:szCs w:val="24"/>
                <w:vertAlign w:val="baseline"/>
                <w:lang w:val="en-US" w:eastAsia="zh-CN" w:bidi="ar"/>
              </w:rPr>
              <w:t>；</w:t>
            </w:r>
          </w:p>
          <w:p>
            <w:pPr>
              <w:keepNext w:val="0"/>
              <w:keepLines w:val="0"/>
              <w:widowControl/>
              <w:numPr>
                <w:ilvl w:val="0"/>
                <w:numId w:val="4"/>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★厂商为国家信息安全漏洞共享平台CNVD技术组</w:t>
            </w:r>
            <w:r>
              <w:rPr>
                <w:rFonts w:hint="eastAsia" w:ascii="宋体" w:hAnsi="宋体" w:cs="宋体"/>
                <w:sz w:val="24"/>
                <w:szCs w:val="24"/>
                <w:lang w:eastAsia="zh-CN"/>
              </w:rPr>
              <w:t>成员单位</w:t>
            </w:r>
            <w:r>
              <w:rPr>
                <w:rFonts w:hint="eastAsia" w:ascii="宋体" w:hAnsi="宋体" w:eastAsia="宋体" w:cs="宋体"/>
                <w:b w:val="0"/>
                <w:bCs w:val="0"/>
                <w:color w:val="000000"/>
                <w:kern w:val="0"/>
                <w:sz w:val="24"/>
                <w:szCs w:val="24"/>
                <w:vertAlign w:val="baseline"/>
                <w:lang w:val="en-US" w:eastAsia="zh-CN" w:bidi="ar"/>
              </w:rPr>
              <w:t>，提供CNVD官网截图证明或证书复印件</w:t>
            </w:r>
            <w:r>
              <w:rPr>
                <w:rFonts w:hint="default" w:ascii="宋体" w:hAnsi="宋体" w:eastAsia="宋体" w:cs="宋体"/>
                <w:b w:val="0"/>
                <w:bCs w:val="0"/>
                <w:color w:val="000000"/>
                <w:kern w:val="0"/>
                <w:sz w:val="24"/>
                <w:szCs w:val="24"/>
                <w:vertAlign w:val="baseline"/>
                <w:lang w:eastAsia="zh-CN" w:bidi="ar"/>
              </w:rPr>
              <w:t>。</w:t>
            </w:r>
          </w:p>
        </w:tc>
        <w:tc>
          <w:tcPr>
            <w:tcW w:w="825" w:type="dxa"/>
            <w:noWrap w:val="0"/>
            <w:vAlign w:val="center"/>
          </w:tcPr>
          <w:p>
            <w:pPr>
              <w:keepNext w:val="0"/>
              <w:keepLines w:val="0"/>
              <w:widowControl/>
              <w:numPr>
                <w:ilvl w:val="0"/>
                <w:numId w:val="0"/>
              </w:numPr>
              <w:suppressLineNumbers w:val="0"/>
              <w:jc w:val="center"/>
              <w:rPr>
                <w:rFonts w:hint="default" w:ascii="宋体" w:hAnsi="宋体" w:eastAsia="宋体" w:cs="宋体"/>
                <w:b w:val="0"/>
                <w:bCs w:val="0"/>
                <w:color w:val="000000"/>
                <w:kern w:val="0"/>
                <w:sz w:val="24"/>
                <w:szCs w:val="24"/>
                <w:vertAlign w:val="baseline"/>
                <w:lang w:val="en-US" w:eastAsia="zh-CN" w:bidi="ar"/>
              </w:rPr>
            </w:pPr>
          </w:p>
        </w:tc>
        <w:tc>
          <w:tcPr>
            <w:tcW w:w="795" w:type="dxa"/>
            <w:noWrap w:val="0"/>
            <w:vAlign w:val="top"/>
          </w:tcPr>
          <w:p>
            <w:pPr>
              <w:keepNext w:val="0"/>
              <w:keepLines w:val="0"/>
              <w:widowControl/>
              <w:numPr>
                <w:ilvl w:val="0"/>
                <w:numId w:val="0"/>
              </w:numPr>
              <w:suppressLineNumbers w:val="0"/>
              <w:jc w:val="left"/>
              <w:rPr>
                <w:rFonts w:hint="default" w:ascii="宋体" w:hAnsi="宋体" w:eastAsia="宋体" w:cs="宋体"/>
                <w:b/>
                <w:bCs/>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r>
              <w:rPr>
                <w:rFonts w:hint="eastAsia" w:ascii="宋体" w:hAnsi="宋体" w:cs="宋体"/>
                <w:b/>
                <w:bCs/>
                <w:color w:val="000000"/>
                <w:kern w:val="0"/>
                <w:sz w:val="24"/>
                <w:szCs w:val="24"/>
                <w:vertAlign w:val="baseline"/>
                <w:lang w:val="en-US" w:eastAsia="zh-CN" w:bidi="ar"/>
              </w:rPr>
              <w:t>5</w:t>
            </w:r>
          </w:p>
        </w:tc>
        <w:tc>
          <w:tcPr>
            <w:tcW w:w="870" w:type="dxa"/>
            <w:noWrap w:val="0"/>
            <w:vAlign w:val="center"/>
          </w:tcPr>
          <w:p>
            <w:pPr>
              <w:keepNext w:val="0"/>
              <w:keepLines w:val="0"/>
              <w:widowControl/>
              <w:numPr>
                <w:ilvl w:val="0"/>
                <w:numId w:val="0"/>
              </w:numPr>
              <w:suppressLineNumbers w:val="0"/>
              <w:jc w:val="center"/>
              <w:rPr>
                <w:rFonts w:hint="default"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日志审计</w:t>
            </w:r>
          </w:p>
        </w:tc>
        <w:tc>
          <w:tcPr>
            <w:tcW w:w="8085" w:type="dxa"/>
            <w:noWrap w:val="0"/>
            <w:vAlign w:val="top"/>
          </w:tcPr>
          <w:p>
            <w:pPr>
              <w:keepNext w:val="0"/>
              <w:keepLines w:val="0"/>
              <w:widowControl/>
              <w:numPr>
                <w:ilvl w:val="0"/>
                <w:numId w:val="5"/>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默认包含主机审计许可证书数量</w:t>
            </w:r>
            <w:r>
              <w:rPr>
                <w:rFonts w:hint="eastAsia" w:ascii="宋体" w:hAnsi="宋体" w:eastAsia="宋体" w:cs="宋体"/>
                <w:sz w:val="24"/>
                <w:szCs w:val="24"/>
              </w:rPr>
              <w:t>≥</w:t>
            </w:r>
            <w:r>
              <w:rPr>
                <w:rFonts w:hint="eastAsia" w:ascii="宋体" w:hAnsi="宋体" w:eastAsia="宋体" w:cs="宋体"/>
                <w:b w:val="0"/>
                <w:bCs w:val="0"/>
                <w:color w:val="000000"/>
                <w:kern w:val="0"/>
                <w:sz w:val="24"/>
                <w:szCs w:val="24"/>
                <w:vertAlign w:val="baseline"/>
                <w:lang w:val="en-US" w:eastAsia="zh-CN" w:bidi="ar"/>
              </w:rPr>
              <w:t>50</w:t>
            </w:r>
            <w:r>
              <w:rPr>
                <w:rFonts w:hint="eastAsia" w:ascii="宋体" w:hAnsi="宋体" w:cs="宋体"/>
                <w:b w:val="0"/>
                <w:bCs w:val="0"/>
                <w:color w:val="000000"/>
                <w:kern w:val="0"/>
                <w:sz w:val="24"/>
                <w:szCs w:val="24"/>
                <w:vertAlign w:val="baseline"/>
                <w:lang w:val="en-US" w:eastAsia="zh-CN" w:bidi="ar"/>
              </w:rPr>
              <w:t>个，</w:t>
            </w:r>
            <w:r>
              <w:rPr>
                <w:rFonts w:hint="eastAsia" w:ascii="宋体" w:hAnsi="宋体" w:eastAsia="宋体" w:cs="宋体"/>
                <w:b w:val="0"/>
                <w:bCs w:val="0"/>
                <w:color w:val="000000"/>
                <w:kern w:val="0"/>
                <w:sz w:val="24"/>
                <w:szCs w:val="24"/>
                <w:vertAlign w:val="baseline"/>
                <w:lang w:val="en-US" w:eastAsia="zh-CN" w:bidi="ar"/>
              </w:rPr>
              <w:t>最大可扩展审计主机许可数</w:t>
            </w:r>
            <w:r>
              <w:rPr>
                <w:rFonts w:hint="eastAsia" w:ascii="宋体" w:hAnsi="宋体" w:eastAsia="宋体" w:cs="宋体"/>
                <w:sz w:val="24"/>
                <w:szCs w:val="24"/>
              </w:rPr>
              <w:t>≥</w:t>
            </w:r>
            <w:r>
              <w:rPr>
                <w:rFonts w:hint="eastAsia" w:ascii="宋体" w:hAnsi="宋体" w:cs="宋体"/>
                <w:sz w:val="24"/>
                <w:szCs w:val="24"/>
                <w:lang w:val="en-US" w:eastAsia="zh-CN"/>
              </w:rPr>
              <w:t>10</w:t>
            </w:r>
            <w:r>
              <w:rPr>
                <w:rFonts w:hint="eastAsia" w:ascii="宋体" w:hAnsi="宋体" w:eastAsia="宋体" w:cs="宋体"/>
                <w:b w:val="0"/>
                <w:bCs w:val="0"/>
                <w:color w:val="000000"/>
                <w:kern w:val="0"/>
                <w:sz w:val="24"/>
                <w:szCs w:val="24"/>
                <w:vertAlign w:val="baseline"/>
                <w:lang w:val="en-US" w:eastAsia="zh-CN" w:bidi="ar"/>
              </w:rPr>
              <w:t>0，可用存储量</w:t>
            </w:r>
            <w:r>
              <w:rPr>
                <w:rFonts w:hint="eastAsia" w:ascii="宋体" w:hAnsi="宋体" w:eastAsia="宋体" w:cs="宋体"/>
                <w:sz w:val="24"/>
                <w:szCs w:val="24"/>
              </w:rPr>
              <w:t>≥</w:t>
            </w:r>
            <w:r>
              <w:rPr>
                <w:rFonts w:hint="eastAsia" w:ascii="宋体" w:hAnsi="宋体" w:eastAsia="宋体" w:cs="宋体"/>
                <w:b w:val="0"/>
                <w:bCs w:val="0"/>
                <w:color w:val="000000"/>
                <w:kern w:val="0"/>
                <w:sz w:val="24"/>
                <w:szCs w:val="24"/>
                <w:vertAlign w:val="baseline"/>
                <w:lang w:val="en-US" w:eastAsia="zh-CN" w:bidi="ar"/>
              </w:rPr>
              <w:t>2TB，平均每秒处理日志数（eps）最大性能</w:t>
            </w:r>
            <w:r>
              <w:rPr>
                <w:rFonts w:hint="eastAsia" w:ascii="宋体" w:hAnsi="宋体" w:eastAsia="宋体" w:cs="宋体"/>
                <w:sz w:val="24"/>
                <w:szCs w:val="24"/>
              </w:rPr>
              <w:t>≥</w:t>
            </w:r>
            <w:r>
              <w:rPr>
                <w:rFonts w:hint="eastAsia" w:ascii="宋体" w:hAnsi="宋体" w:eastAsia="宋体" w:cs="宋体"/>
                <w:b w:val="0"/>
                <w:bCs w:val="0"/>
                <w:color w:val="000000"/>
                <w:kern w:val="0"/>
                <w:sz w:val="24"/>
                <w:szCs w:val="24"/>
                <w:vertAlign w:val="baseline"/>
                <w:lang w:val="en-US" w:eastAsia="zh-CN" w:bidi="ar"/>
              </w:rPr>
              <w:t>3500。规格：标准机架式，硬盘容量</w:t>
            </w:r>
            <w:r>
              <w:rPr>
                <w:rFonts w:hint="eastAsia" w:ascii="宋体" w:hAnsi="宋体" w:eastAsia="宋体" w:cs="宋体"/>
                <w:sz w:val="24"/>
                <w:szCs w:val="24"/>
              </w:rPr>
              <w:t>≥</w:t>
            </w:r>
            <w:r>
              <w:rPr>
                <w:rFonts w:hint="eastAsia" w:ascii="宋体" w:hAnsi="宋体" w:eastAsia="宋体" w:cs="宋体"/>
                <w:b w:val="0"/>
                <w:bCs w:val="0"/>
                <w:color w:val="000000"/>
                <w:kern w:val="0"/>
                <w:sz w:val="24"/>
                <w:szCs w:val="24"/>
                <w:vertAlign w:val="baseline"/>
                <w:lang w:val="en-US" w:eastAsia="zh-CN" w:bidi="ar"/>
              </w:rPr>
              <w:t>2T，接口至少6千兆电口</w:t>
            </w:r>
            <w:r>
              <w:rPr>
                <w:rFonts w:hint="eastAsia" w:ascii="宋体" w:hAnsi="宋体" w:cs="宋体"/>
                <w:b w:val="0"/>
                <w:bCs w:val="0"/>
                <w:color w:val="000000"/>
                <w:kern w:val="0"/>
                <w:sz w:val="24"/>
                <w:szCs w:val="24"/>
                <w:vertAlign w:val="baseline"/>
                <w:lang w:val="en-US" w:eastAsia="zh-CN" w:bidi="ar"/>
              </w:rPr>
              <w:t>；</w:t>
            </w:r>
          </w:p>
          <w:p>
            <w:pPr>
              <w:keepNext w:val="0"/>
              <w:keepLines w:val="0"/>
              <w:widowControl/>
              <w:numPr>
                <w:ilvl w:val="0"/>
                <w:numId w:val="5"/>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sz w:val="24"/>
                <w:szCs w:val="24"/>
              </w:rPr>
              <w:t>系统需全面支持IPv4/IPv6双栈协议，无需在被采集目标系统上安装任何软件；产品功能的实现无需额外增加服务器等设备</w:t>
            </w:r>
            <w:r>
              <w:rPr>
                <w:rFonts w:hint="eastAsia" w:ascii="宋体" w:hAnsi="宋体" w:cs="宋体"/>
                <w:sz w:val="24"/>
                <w:szCs w:val="24"/>
                <w:lang w:eastAsia="zh-CN"/>
              </w:rPr>
              <w:t>，</w:t>
            </w:r>
            <w:r>
              <w:rPr>
                <w:rFonts w:hint="eastAsia" w:ascii="宋体" w:hAnsi="宋体" w:eastAsia="宋体" w:cs="宋体"/>
                <w:sz w:val="24"/>
                <w:szCs w:val="24"/>
              </w:rPr>
              <w:t>采用B/S架构操作方式，无需安装客户端软件</w:t>
            </w:r>
            <w:r>
              <w:rPr>
                <w:rFonts w:hint="eastAsia" w:ascii="宋体" w:hAnsi="宋体" w:cs="宋体"/>
                <w:sz w:val="24"/>
                <w:szCs w:val="24"/>
                <w:lang w:eastAsia="zh-CN"/>
              </w:rPr>
              <w:t>；</w:t>
            </w:r>
          </w:p>
          <w:p>
            <w:pPr>
              <w:keepNext w:val="0"/>
              <w:keepLines w:val="0"/>
              <w:widowControl/>
              <w:numPr>
                <w:ilvl w:val="0"/>
                <w:numId w:val="5"/>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sz w:val="24"/>
                <w:szCs w:val="24"/>
              </w:rPr>
              <w:t>★设备支持聚合策略，可根据最大限定实际、最大集合次数、匹配规则配置策略聚合相应的原始日志产生安全事件，安全事件可自定义展示的字段内容，包括：事件类型、名称、级别、发生源IP地址、协议、开始时间、结束时间</w:t>
            </w:r>
            <w:r>
              <w:rPr>
                <w:rFonts w:hint="eastAsia" w:ascii="宋体" w:hAnsi="宋体" w:cs="宋体"/>
                <w:sz w:val="24"/>
                <w:szCs w:val="24"/>
                <w:lang w:eastAsia="zh-CN"/>
              </w:rPr>
              <w:t>等</w:t>
            </w:r>
            <w:r>
              <w:rPr>
                <w:rFonts w:hint="eastAsia" w:ascii="宋体" w:hAnsi="宋体" w:eastAsia="宋体" w:cs="宋体"/>
                <w:sz w:val="24"/>
                <w:szCs w:val="24"/>
              </w:rPr>
              <w:t>，</w:t>
            </w:r>
            <w:r>
              <w:rPr>
                <w:rFonts w:hint="eastAsia" w:ascii="宋体" w:hAnsi="宋体" w:cs="宋体"/>
                <w:sz w:val="24"/>
                <w:szCs w:val="24"/>
                <w:lang w:eastAsia="zh-CN"/>
              </w:rPr>
              <w:t>可</w:t>
            </w:r>
            <w:r>
              <w:rPr>
                <w:rFonts w:hint="eastAsia" w:ascii="宋体" w:hAnsi="宋体" w:eastAsia="宋体" w:cs="宋体"/>
                <w:sz w:val="24"/>
                <w:szCs w:val="24"/>
              </w:rPr>
              <w:t>查看事件详情和原始日志；（要求提供产品功能界面截图并加盖厂商公章证明）</w:t>
            </w:r>
            <w:r>
              <w:rPr>
                <w:rFonts w:hint="eastAsia" w:ascii="宋体" w:hAnsi="宋体" w:eastAsia="宋体" w:cs="宋体"/>
                <w:sz w:val="24"/>
                <w:szCs w:val="24"/>
                <w:lang w:eastAsia="zh-CN"/>
              </w:rPr>
              <w:t>；</w:t>
            </w:r>
          </w:p>
          <w:p>
            <w:pPr>
              <w:keepNext w:val="0"/>
              <w:keepLines w:val="0"/>
              <w:widowControl/>
              <w:numPr>
                <w:ilvl w:val="0"/>
                <w:numId w:val="5"/>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sz w:val="24"/>
                <w:szCs w:val="24"/>
              </w:rPr>
              <w:t>★系统支持数据大屏展示攻击源和目的，可以集中展示安全事件类型、名称、事件等级等信息（要求提供产品功能截图）</w:t>
            </w:r>
            <w:r>
              <w:rPr>
                <w:rFonts w:hint="eastAsia" w:ascii="宋体" w:hAnsi="宋体" w:eastAsia="宋体" w:cs="宋体"/>
                <w:sz w:val="24"/>
                <w:szCs w:val="24"/>
                <w:lang w:eastAsia="zh-CN"/>
              </w:rPr>
              <w:t>；</w:t>
            </w:r>
          </w:p>
          <w:p>
            <w:pPr>
              <w:keepNext w:val="0"/>
              <w:keepLines w:val="0"/>
              <w:widowControl/>
              <w:numPr>
                <w:ilvl w:val="0"/>
                <w:numId w:val="5"/>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支持基于时间切片进行事件统计的方法，并提供国家权威机构出具的证明文件；</w:t>
            </w:r>
          </w:p>
          <w:p>
            <w:pPr>
              <w:keepNext w:val="0"/>
              <w:keepLines w:val="0"/>
              <w:widowControl/>
              <w:numPr>
                <w:ilvl w:val="0"/>
                <w:numId w:val="5"/>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设备具备事件规则关联分析方法并提供国家权威结构出具的证明文件；</w:t>
            </w:r>
          </w:p>
          <w:p>
            <w:pPr>
              <w:keepNext w:val="0"/>
              <w:keepLines w:val="0"/>
              <w:widowControl/>
              <w:numPr>
                <w:ilvl w:val="0"/>
                <w:numId w:val="5"/>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设备支持基于因果式的状态关联分析和基于异常统计模型的检查分析功能，可挖掘不同类型、来源于不同设备或系统的日志或安全事件之间可能存在的关联关系，</w:t>
            </w:r>
            <w:r>
              <w:rPr>
                <w:rFonts w:hint="eastAsia" w:ascii="宋体" w:hAnsi="宋体" w:cs="宋体"/>
                <w:b w:val="0"/>
                <w:bCs w:val="0"/>
                <w:color w:val="000000"/>
                <w:kern w:val="0"/>
                <w:sz w:val="24"/>
                <w:szCs w:val="24"/>
                <w:vertAlign w:val="baseline"/>
                <w:lang w:val="en-US" w:eastAsia="zh-CN" w:bidi="ar"/>
              </w:rPr>
              <w:t>管理界面应</w:t>
            </w:r>
            <w:r>
              <w:rPr>
                <w:rFonts w:hint="eastAsia" w:ascii="宋体" w:hAnsi="宋体" w:eastAsia="宋体" w:cs="宋体"/>
                <w:b w:val="0"/>
                <w:bCs w:val="0"/>
                <w:color w:val="000000"/>
                <w:kern w:val="0"/>
                <w:sz w:val="24"/>
                <w:szCs w:val="24"/>
                <w:vertAlign w:val="baseline"/>
                <w:lang w:val="en-US" w:eastAsia="zh-CN" w:bidi="ar"/>
              </w:rPr>
              <w:t>提供关联规则设置功能</w:t>
            </w:r>
            <w:r>
              <w:rPr>
                <w:rFonts w:hint="eastAsia" w:ascii="宋体" w:hAnsi="宋体" w:eastAsia="宋体" w:cs="宋体"/>
                <w:sz w:val="24"/>
                <w:szCs w:val="24"/>
                <w:lang w:eastAsia="zh-CN"/>
              </w:rPr>
              <w:t>；</w:t>
            </w:r>
          </w:p>
          <w:p>
            <w:pPr>
              <w:keepNext w:val="0"/>
              <w:keepLines w:val="0"/>
              <w:widowControl/>
              <w:numPr>
                <w:ilvl w:val="0"/>
                <w:numId w:val="5"/>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sz w:val="24"/>
                <w:szCs w:val="24"/>
              </w:rPr>
              <w:t>设备支持展示告警，支持告警确认，告警事件包含：事件级别、类型、策略、时间、状态</w:t>
            </w:r>
            <w:r>
              <w:rPr>
                <w:rFonts w:hint="eastAsia" w:ascii="宋体" w:hAnsi="宋体" w:cs="宋体"/>
                <w:sz w:val="24"/>
                <w:szCs w:val="24"/>
                <w:lang w:eastAsia="zh-CN"/>
              </w:rPr>
              <w:t>等</w:t>
            </w:r>
            <w:r>
              <w:rPr>
                <w:rFonts w:hint="eastAsia" w:ascii="宋体" w:hAnsi="宋体" w:eastAsia="宋体" w:cs="宋体"/>
                <w:sz w:val="24"/>
                <w:szCs w:val="24"/>
              </w:rPr>
              <w:t>，</w:t>
            </w:r>
            <w:r>
              <w:rPr>
                <w:rFonts w:hint="eastAsia" w:ascii="宋体" w:hAnsi="宋体" w:cs="宋体"/>
                <w:sz w:val="24"/>
                <w:szCs w:val="24"/>
                <w:lang w:eastAsia="zh-CN"/>
              </w:rPr>
              <w:t>可</w:t>
            </w:r>
            <w:r>
              <w:rPr>
                <w:rFonts w:hint="eastAsia" w:ascii="宋体" w:hAnsi="宋体" w:eastAsia="宋体" w:cs="宋体"/>
                <w:sz w:val="24"/>
                <w:szCs w:val="24"/>
              </w:rPr>
              <w:t>查看事件详情和事件溯源信息；（要求提供产品功能截图）</w:t>
            </w:r>
            <w:r>
              <w:rPr>
                <w:rFonts w:hint="eastAsia" w:ascii="宋体" w:hAnsi="宋体" w:eastAsia="宋体" w:cs="宋体"/>
                <w:sz w:val="24"/>
                <w:szCs w:val="24"/>
                <w:lang w:eastAsia="zh-CN"/>
              </w:rPr>
              <w:t>；</w:t>
            </w:r>
          </w:p>
          <w:p>
            <w:pPr>
              <w:keepNext w:val="0"/>
              <w:keepLines w:val="0"/>
              <w:widowControl/>
              <w:numPr>
                <w:ilvl w:val="0"/>
                <w:numId w:val="5"/>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厂商具有国家计算机网络应急技术处理协调中心颁发的网络安全应急服务支撑单位证书</w:t>
            </w:r>
          </w:p>
          <w:p>
            <w:pPr>
              <w:keepNext w:val="0"/>
              <w:keepLines w:val="0"/>
              <w:widowControl/>
              <w:numPr>
                <w:ilvl w:val="0"/>
                <w:numId w:val="5"/>
              </w:numPr>
              <w:suppressLineNumbers w:val="0"/>
              <w:jc w:val="left"/>
              <w:rPr>
                <w:rFonts w:hint="eastAsia" w:ascii="宋体" w:hAnsi="宋体" w:eastAsia="宋体" w:cs="宋体"/>
                <w:sz w:val="24"/>
                <w:szCs w:val="24"/>
                <w:lang w:val="en-US" w:eastAsia="zh-CN"/>
              </w:rPr>
            </w:pPr>
            <w:r>
              <w:rPr>
                <w:rFonts w:hint="eastAsia" w:ascii="宋体" w:hAnsi="宋体" w:eastAsia="宋体" w:cs="宋体"/>
                <w:b w:val="0"/>
                <w:bCs w:val="0"/>
                <w:color w:val="000000"/>
                <w:kern w:val="0"/>
                <w:sz w:val="24"/>
                <w:szCs w:val="24"/>
                <w:vertAlign w:val="baseline"/>
                <w:lang w:val="en-US" w:eastAsia="zh-CN" w:bidi="ar"/>
              </w:rPr>
              <w:t>产品具有《计算机信息系统安全专用产品销售许可证》，《IT产品信息安全认证证书 ISCCC》</w:t>
            </w:r>
            <w:r>
              <w:rPr>
                <w:rFonts w:hint="eastAsia" w:ascii="宋体" w:hAnsi="宋体" w:cs="宋体"/>
                <w:b w:val="0"/>
                <w:bCs w:val="0"/>
                <w:color w:val="000000"/>
                <w:kern w:val="0"/>
                <w:sz w:val="24"/>
                <w:szCs w:val="24"/>
                <w:vertAlign w:val="baseline"/>
                <w:lang w:val="en-US" w:eastAsia="zh-CN" w:bidi="ar"/>
              </w:rPr>
              <w:t>。</w:t>
            </w:r>
          </w:p>
        </w:tc>
        <w:tc>
          <w:tcPr>
            <w:tcW w:w="82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p>
        </w:tc>
        <w:tc>
          <w:tcPr>
            <w:tcW w:w="795" w:type="dxa"/>
            <w:noWrap w:val="0"/>
            <w:vAlign w:val="top"/>
          </w:tcPr>
          <w:p>
            <w:pPr>
              <w:keepNext w:val="0"/>
              <w:keepLines w:val="0"/>
              <w:widowControl/>
              <w:numPr>
                <w:ilvl w:val="0"/>
                <w:numId w:val="0"/>
              </w:numPr>
              <w:suppressLineNumbers w:val="0"/>
              <w:jc w:val="left"/>
              <w:rPr>
                <w:rFonts w:hint="default" w:ascii="宋体" w:hAnsi="宋体" w:eastAsia="宋体" w:cs="宋体"/>
                <w:b/>
                <w:bCs/>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trPr>
        <w:tc>
          <w:tcPr>
            <w:tcW w:w="49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r>
              <w:rPr>
                <w:rFonts w:hint="eastAsia" w:ascii="宋体" w:hAnsi="宋体" w:cs="宋体"/>
                <w:b/>
                <w:bCs/>
                <w:color w:val="000000"/>
                <w:kern w:val="0"/>
                <w:sz w:val="24"/>
                <w:szCs w:val="24"/>
                <w:vertAlign w:val="baseline"/>
                <w:lang w:val="en-US" w:eastAsia="zh-CN" w:bidi="ar"/>
              </w:rPr>
              <w:t>6</w:t>
            </w:r>
          </w:p>
        </w:tc>
        <w:tc>
          <w:tcPr>
            <w:tcW w:w="870" w:type="dxa"/>
            <w:noWrap w:val="0"/>
            <w:vAlign w:val="center"/>
          </w:tcPr>
          <w:p>
            <w:pPr>
              <w:keepNext w:val="0"/>
              <w:keepLines w:val="0"/>
              <w:widowControl/>
              <w:numPr>
                <w:ilvl w:val="0"/>
                <w:numId w:val="0"/>
              </w:numPr>
              <w:suppressLineNumbers w:val="0"/>
              <w:jc w:val="center"/>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防病毒软件系统</w:t>
            </w:r>
          </w:p>
        </w:tc>
        <w:tc>
          <w:tcPr>
            <w:tcW w:w="8085" w:type="dxa"/>
            <w:noWrap w:val="0"/>
            <w:vAlign w:val="top"/>
          </w:tcPr>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客户端防护</w:t>
            </w:r>
            <w:r>
              <w:rPr>
                <w:rFonts w:hint="eastAsia" w:ascii="宋体" w:hAnsi="宋体" w:cs="宋体"/>
                <w:b w:val="0"/>
                <w:bCs w:val="0"/>
                <w:color w:val="000000"/>
                <w:kern w:val="0"/>
                <w:sz w:val="24"/>
                <w:szCs w:val="24"/>
                <w:vertAlign w:val="baseline"/>
                <w:lang w:val="en-US" w:eastAsia="zh-CN" w:bidi="ar"/>
              </w:rPr>
              <w:t>要求</w:t>
            </w:r>
            <w:r>
              <w:rPr>
                <w:rFonts w:hint="eastAsia" w:ascii="宋体" w:hAnsi="宋体" w:eastAsia="宋体" w:cs="宋体"/>
                <w:b w:val="0"/>
                <w:bCs w:val="0"/>
                <w:color w:val="000000"/>
                <w:kern w:val="0"/>
                <w:sz w:val="24"/>
                <w:szCs w:val="24"/>
                <w:vertAlign w:val="baseline"/>
                <w:lang w:val="en-US" w:eastAsia="zh-CN" w:bidi="ar"/>
              </w:rPr>
              <w:t>：</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1、产品采用B/S架构，支持通过HTTPS方式登录管理控制台，管理控制台访问需进行加密访问；防病毒客户端支持Windows XP、win7/8 Embedded、 Windows 10等操作系统；提供100个客户端授权许可，配置主机防火墙、爆发阻止、Web站点信誉服务、预测机器学习、行为监控、勒索病毒防护功能模块。</w:t>
            </w:r>
            <w:r>
              <w:rPr>
                <w:rFonts w:hint="eastAsia" w:ascii="宋体" w:hAnsi="宋体" w:eastAsia="宋体" w:cs="宋体"/>
                <w:b w:val="0"/>
                <w:bCs w:val="0"/>
                <w:color w:val="auto"/>
                <w:sz w:val="24"/>
                <w:szCs w:val="24"/>
                <w:lang w:bidi="ar"/>
              </w:rPr>
              <w:t>提供三年原厂免费</w:t>
            </w:r>
            <w:r>
              <w:rPr>
                <w:rFonts w:hint="eastAsia" w:ascii="宋体" w:hAnsi="宋体" w:cs="宋体"/>
                <w:b w:val="0"/>
                <w:bCs w:val="0"/>
                <w:color w:val="auto"/>
                <w:sz w:val="24"/>
                <w:szCs w:val="24"/>
                <w:lang w:eastAsia="zh-CN" w:bidi="ar"/>
              </w:rPr>
              <w:t>病毒库</w:t>
            </w:r>
            <w:r>
              <w:rPr>
                <w:rFonts w:hint="eastAsia" w:ascii="宋体" w:hAnsi="宋体" w:eastAsia="宋体" w:cs="宋体"/>
                <w:b w:val="0"/>
                <w:bCs w:val="0"/>
                <w:color w:val="auto"/>
                <w:sz w:val="24"/>
                <w:szCs w:val="24"/>
                <w:lang w:bidi="ar"/>
              </w:rPr>
              <w:t>升级</w:t>
            </w:r>
            <w:r>
              <w:rPr>
                <w:rFonts w:hint="eastAsia" w:ascii="宋体" w:hAnsi="宋体" w:eastAsia="宋体" w:cs="宋体"/>
                <w:b w:val="0"/>
                <w:bCs w:val="0"/>
                <w:color w:val="auto"/>
                <w:sz w:val="24"/>
                <w:szCs w:val="24"/>
                <w:lang w:val="en-US" w:eastAsia="zh-CN" w:bidi="ar"/>
              </w:rPr>
              <w:t>服务</w:t>
            </w:r>
            <w:r>
              <w:rPr>
                <w:rFonts w:hint="eastAsia" w:ascii="宋体" w:hAnsi="宋体" w:cs="宋体"/>
                <w:b w:val="0"/>
                <w:bCs w:val="0"/>
                <w:color w:val="auto"/>
                <w:sz w:val="24"/>
                <w:szCs w:val="24"/>
                <w:lang w:val="en-US" w:eastAsia="zh-CN" w:bidi="ar"/>
              </w:rPr>
              <w:t>。</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2、支持主机入侵检测系统；防病毒软具备个人防火墙功能，有效阻止各种恶意威胁；支持针对终端根据基于源IP（支持IPv6）、目的IP（支持IPv6）、源端口、目的端口、应用程序及注册表项，出站、入站等进行安全配置。</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3、★产品能够实时监控并清除来自各种途径的病毒、木马、蠕虫、恶意软件、勒索软件、黑客工具等恶意威胁；需提供多种扫描引擎不少于五种，针对于机器学习必须使用独立扫描引擎，同时所有防毒引擎必须为自主知识产品非OEM产品。（须提供系统功能截图证明）</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4、对于文件扫描方式至少支持三种以上，包括所有文件统一措施、推荐扫描措施、以及针对不同类型病毒/恶意软件提供不同扫描措施，同时不同病毒/恶意软件类型不少于7种分类。</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5、★支持拦截恶意URL功能，检测并阻止恶意的URL链接，并支持URL地址黑白名单功能；具备Web信誉评估功能，包含HTTPS通信扫描，结合云安全架构自动识别并屏蔽恶意站点，阻止病毒自动更新。（须提供系统功能截图证明）</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6、★具备病毒爆发防御功能，当最新病毒爆发时，可在病毒代码未完成之前自动对网络中的病毒传播端口、共享等进行关闭，切断病毒传播途径，预防最新病毒的攻击。（须提供系统功能截图证明）</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7、能够恢复由勒索软件威胁加密的文件，阻止与勒索软件关联的进程，并防止遭受危害的可执行文件感染网络；具备防勒索软件防护功能，管理界面提供配置项。</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8、对非存储设备，如bluetooth、IEEE 1394接口、红外设备、调制解调器、PCMCIA卡等进行分项权限设置；可对插入移动存储引导区或者移动设备的所有文件进行扫描设置。</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9、支持多种安装方式，至少包括下载安装、MSI程序打包安装、共享安装、Web安装、脚本登录安装和域组策略安装，支持通过管理控制台方式进行远程安装，支持通过WEB方式进行远程安装。</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10、客户端更新实现并发更新数量的控制，同时可以按不同时间段进行更新并发限制；</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11、★资质要求：提供公安部颁发的《计算机信息系统安全专用产品销售许可证》网络版防病毒产品（一级品）证书；生产厂商具备CMMI 5级认证证书；生产厂商具备中国电子工业标准化技术协会颁发的ITSS《信息技术服务标准符合性证书》（业务领域：运行维护服务，评估等级：三级）；</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Hans" w:bidi="ar"/>
              </w:rPr>
              <w:t>服务器防护</w:t>
            </w:r>
            <w:r>
              <w:rPr>
                <w:rFonts w:hint="eastAsia" w:ascii="宋体" w:hAnsi="宋体" w:cs="宋体"/>
                <w:b w:val="0"/>
                <w:bCs w:val="0"/>
                <w:color w:val="000000"/>
                <w:kern w:val="0"/>
                <w:sz w:val="24"/>
                <w:szCs w:val="24"/>
                <w:vertAlign w:val="baseline"/>
                <w:lang w:val="en-US" w:eastAsia="zh-CN" w:bidi="ar"/>
              </w:rPr>
              <w:t>要求：</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1、★控制中心能够与虚拟化平台无缝对接，支持适配主流虚拟化平台，如Vmware、华为FusionSphere、华三CAS等（须提供官方兼容性列表或证明文件）；产品支持有代理和无代理模式部署，并能够实现同一个控制中心管理；本次采用有代理部署模式，提供100个服务器授权许可，配置防病毒、Web信誉检测、功能模块。</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2、提供AV防病毒，防恶意程序功能；提供Web信誉功能，可以阻止用户访问恶意Web站点；支持日志审查，捕获和分析系统日志，为组织提供审计证据。（须提供系统功能截图证明）</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3、支持本地扫描和云安全扫描，具备本地病毒码和云端病毒码，支持实时扫描，预设扫描和、手动扫描和快速扫描。</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4、对病毒的处理措施支持：清除、删除、拒绝访问、隔离、不予处理，系统针对不同的病毒类型提供默认配置，同时支持用户自定义。</w:t>
            </w:r>
          </w:p>
          <w:p>
            <w:pPr>
              <w:keepNext w:val="0"/>
              <w:keepLines w:val="0"/>
              <w:widowControl/>
              <w:numPr>
                <w:ilvl w:val="0"/>
                <w:numId w:val="0"/>
              </w:numPr>
              <w:suppressLineNumbers w:val="0"/>
              <w:jc w:val="left"/>
              <w:rPr>
                <w:rFonts w:hint="eastAsia" w:ascii="宋体" w:hAnsi="宋体" w:cs="宋体"/>
                <w:color w:val="000000"/>
                <w:kern w:val="0"/>
                <w:sz w:val="24"/>
                <w:lang w:bidi="ar"/>
              </w:rPr>
            </w:pPr>
            <w:r>
              <w:rPr>
                <w:rFonts w:hint="eastAsia" w:ascii="宋体" w:hAnsi="宋体" w:cs="宋体"/>
                <w:b w:val="0"/>
                <w:bCs w:val="0"/>
                <w:color w:val="000000"/>
                <w:kern w:val="0"/>
                <w:sz w:val="24"/>
                <w:szCs w:val="24"/>
                <w:vertAlign w:val="baseline"/>
                <w:lang w:val="en-US" w:eastAsia="zh-CN" w:bidi="ar"/>
              </w:rPr>
              <w:t>5、</w:t>
            </w:r>
            <w:r>
              <w:rPr>
                <w:rFonts w:hint="eastAsia" w:ascii="宋体" w:hAnsi="宋体" w:cs="宋体"/>
                <w:color w:val="000000"/>
                <w:kern w:val="0"/>
                <w:sz w:val="24"/>
                <w:lang w:bidi="ar"/>
              </w:rPr>
              <w:t>★支持病毒检测，根据策略对病毒文件进行检测和告警，对病毒样本基本库至少能检测其中的95%，对病毒样本流行库至少能检测其中的98%；根据策略对病毒文件进行检测和告警，对误报样本库的误报率不能超过0.1%；支持对虚拟化环境中统一检测的策略管理,避免统一检测对虚拟化环境应用造成影响。支持即时保护、病毒阻断、病毒隔离；能根据安全策略对病毒文件进行清除，对病毒样本基本库至少能清除其中的90%，对病毒样本流行库至少能清除其中的95%。（上述功能提供具有CMA、CNAS标识的国家计算机病毒应急处理中心计算机病毒防治产品检验实验室出具的检验报告证明）</w:t>
            </w:r>
          </w:p>
          <w:p>
            <w:pPr>
              <w:widowControl/>
              <w:jc w:val="left"/>
              <w:rPr>
                <w:rFonts w:ascii="宋体" w:hAnsi="宋体" w:cs="宋体"/>
                <w:color w:val="000000"/>
                <w:kern w:val="0"/>
                <w:sz w:val="24"/>
                <w:lang w:bidi="ar"/>
              </w:rPr>
            </w:pPr>
            <w:r>
              <w:rPr>
                <w:rFonts w:hint="eastAsia" w:ascii="宋体" w:hAnsi="宋体" w:cs="宋体"/>
                <w:color w:val="000000"/>
                <w:kern w:val="0"/>
                <w:sz w:val="24"/>
                <w:lang w:val="en-US" w:eastAsia="zh-CN" w:bidi="ar"/>
              </w:rPr>
              <w:t>6、</w:t>
            </w:r>
            <w:r>
              <w:rPr>
                <w:rFonts w:hint="eastAsia" w:ascii="宋体" w:hAnsi="宋体" w:cs="宋体"/>
                <w:color w:val="000000"/>
                <w:kern w:val="0"/>
                <w:sz w:val="24"/>
                <w:lang w:bidi="ar"/>
              </w:rPr>
              <w:t>支持推荐扫描，根据不同计算机的扫描结果自动下发对应的入侵防御规则；支持快速定制入侵防御规则。（须提供系统功能截图证明）</w:t>
            </w:r>
          </w:p>
          <w:p>
            <w:pPr>
              <w:widowControl/>
              <w:jc w:val="left"/>
              <w:rPr>
                <w:rFonts w:hint="eastAsia" w:eastAsia="宋体"/>
                <w:lang w:val="en-US" w:eastAsia="zh-CN"/>
              </w:rPr>
            </w:pPr>
            <w:r>
              <w:rPr>
                <w:rFonts w:ascii="宋体" w:hAnsi="宋体" w:cs="宋体"/>
                <w:color w:val="000000"/>
                <w:kern w:val="0"/>
                <w:sz w:val="24"/>
                <w:lang w:bidi="ar"/>
              </w:rPr>
              <w:t>7</w:t>
            </w:r>
            <w:r>
              <w:rPr>
                <w:rFonts w:hint="eastAsia" w:ascii="宋体" w:hAnsi="宋体" w:cs="宋体"/>
                <w:color w:val="000000"/>
                <w:kern w:val="0"/>
                <w:sz w:val="24"/>
                <w:lang w:bidi="ar"/>
              </w:rPr>
              <w:t>、支持扫描资源优化，手动扫描支持CPU资源使用率调整，当CPU超过阈值时暂停或者减少CPU使用率。可以设置CPU占用不高于50%或者20%；防病毒扫描支持VM扫描缓存和多线程处理。</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8、★防火墙功能支持无代理方式部署，实现与NSX集成下发防火墙策略。（须提供系统功能截图证明）</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9、具有应用程序控制功能，应用程序控制模块监控变化，一旦启用应用程序控制，将会记录所有软件更改，并创建事件。</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10、支持完整性监控，能够监控操作系统和关键应用包括注册表项、关键目录、特定目录变更，以防范恶意修改。</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11、支持对主机的日志审计，包括收集和分析操作系统和应用程序日志中的安全事件；支持多种系统事件记录，记录包括管理员、审计员、系统等所有审计日志。</w:t>
            </w:r>
          </w:p>
          <w:p>
            <w:pPr>
              <w:keepNext w:val="0"/>
              <w:keepLines w:val="0"/>
              <w:widowControl/>
              <w:numPr>
                <w:ilvl w:val="0"/>
                <w:numId w:val="0"/>
              </w:numPr>
              <w:suppressLineNumbers w:val="0"/>
              <w:jc w:val="left"/>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12、★资质要求：提供公安部颁发的《计算机信息系统安全专用产品销售许可证》虚拟化安全防护产品（增强级）；生产厂商具备CMMI 5级认证证书；生产厂商具备中国电子工业标准化技术协会颁发的ITSS《信息技术服务标准符合性证书》（业务领域：运行维护服务，评估等级：三级）；</w:t>
            </w:r>
          </w:p>
        </w:tc>
        <w:tc>
          <w:tcPr>
            <w:tcW w:w="82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p>
        </w:tc>
        <w:tc>
          <w:tcPr>
            <w:tcW w:w="795" w:type="dxa"/>
            <w:noWrap w:val="0"/>
            <w:vAlign w:val="top"/>
          </w:tcPr>
          <w:p>
            <w:pPr>
              <w:keepNext w:val="0"/>
              <w:keepLines w:val="0"/>
              <w:widowControl/>
              <w:numPr>
                <w:ilvl w:val="0"/>
                <w:numId w:val="0"/>
              </w:numPr>
              <w:suppressLineNumbers w:val="0"/>
              <w:jc w:val="left"/>
              <w:rPr>
                <w:rFonts w:hint="default" w:ascii="宋体" w:hAnsi="宋体" w:eastAsia="宋体" w:cs="宋体"/>
                <w:b/>
                <w:bCs/>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7" w:hRule="atLeast"/>
        </w:trPr>
        <w:tc>
          <w:tcPr>
            <w:tcW w:w="49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r>
              <w:rPr>
                <w:rFonts w:hint="eastAsia" w:ascii="宋体" w:hAnsi="宋体" w:cs="宋体"/>
                <w:b/>
                <w:bCs/>
                <w:color w:val="000000"/>
                <w:kern w:val="0"/>
                <w:sz w:val="24"/>
                <w:szCs w:val="24"/>
                <w:vertAlign w:val="baseline"/>
                <w:lang w:val="en-US" w:eastAsia="zh-CN" w:bidi="ar"/>
              </w:rPr>
              <w:t>7</w:t>
            </w:r>
          </w:p>
        </w:tc>
        <w:tc>
          <w:tcPr>
            <w:tcW w:w="870" w:type="dxa"/>
            <w:noWrap w:val="0"/>
            <w:vAlign w:val="center"/>
          </w:tcPr>
          <w:p>
            <w:pPr>
              <w:keepNext w:val="0"/>
              <w:keepLines w:val="0"/>
              <w:widowControl/>
              <w:numPr>
                <w:ilvl w:val="0"/>
                <w:numId w:val="0"/>
              </w:numPr>
              <w:suppressLineNumbers w:val="0"/>
              <w:jc w:val="center"/>
              <w:rPr>
                <w:rFonts w:hint="eastAsia" w:ascii="宋体" w:hAnsi="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Web</w:t>
            </w:r>
          </w:p>
          <w:p>
            <w:pPr>
              <w:keepNext w:val="0"/>
              <w:keepLines w:val="0"/>
              <w:widowControl/>
              <w:numPr>
                <w:ilvl w:val="0"/>
                <w:numId w:val="0"/>
              </w:numPr>
              <w:suppressLineNumbers w:val="0"/>
              <w:jc w:val="center"/>
              <w:rPr>
                <w:rFonts w:hint="default" w:ascii="宋体" w:hAnsi="宋体" w:eastAsia="宋体" w:cs="宋体"/>
                <w:b w:val="0"/>
                <w:bCs w:val="0"/>
                <w:color w:val="000000"/>
                <w:kern w:val="0"/>
                <w:sz w:val="24"/>
                <w:szCs w:val="24"/>
                <w:vertAlign w:val="baseline"/>
                <w:lang w:val="en-US" w:eastAsia="zh-CN" w:bidi="ar"/>
              </w:rPr>
            </w:pPr>
            <w:r>
              <w:rPr>
                <w:rFonts w:hint="eastAsia" w:ascii="宋体" w:hAnsi="宋体" w:cs="宋体"/>
                <w:b w:val="0"/>
                <w:bCs w:val="0"/>
                <w:color w:val="000000"/>
                <w:kern w:val="0"/>
                <w:sz w:val="24"/>
                <w:szCs w:val="24"/>
                <w:vertAlign w:val="baseline"/>
                <w:lang w:val="en-US" w:eastAsia="zh-CN" w:bidi="ar"/>
              </w:rPr>
              <w:t xml:space="preserve">VPN设备  </w:t>
            </w:r>
          </w:p>
        </w:tc>
        <w:tc>
          <w:tcPr>
            <w:tcW w:w="8085" w:type="dxa"/>
            <w:noWrap w:val="0"/>
            <w:vAlign w:val="top"/>
          </w:tcPr>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基本参数：提供并发用户数≥1000（永久授权）。                                 硬件部署，硬件需满足：至少3.4GHz四核8线程/16G/500G SSD/6个千兆电口,2U/冗余电源。</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产品指标要求：</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1、产品支持WEB VPN模块。产品应在无需安装客户端或控件情况下，在后端进行业务发布方式即可访问学校电子图书资源、OA、科研、财务、教务系统等各类B/S业务系统。产品支持客户登录成功，可以通过点击对应访问图标的方式进行一键式访问。</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2、产品提供支持WEB终端。在不安装任何控件下，支持通过系统访问RDP、VNC、Telnet、SSH等协议资源；</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针对RDP、VNC、Telnet、SSH等协议资源，支持管理员在系统中配置资源账号密码及授权用户，且该账密对用户透明；</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4、针对RDP、VNC、Telnet、SSH等协议资源访问，支持其操作等记录与审计，包括用户账号、用户IP、操作资源、操作时间；且针对SSH、Telnet协议的资源访问，记录其全量操作指令，针对RDP、VNC协议的资源访问记录所有操作过程，且支持通过Web在线视频回放或下载至本地。（提供系统截图加盖公章）</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★5、产品需提供OAuth、CAS、短信认证、LDAP、RADIUS等认证方式。可针对用户支持密码、短信、邮件、等多因素认证，支持多种社交化认证方式，如企业微信、钉钉等。（需提供验证截图）</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6、产品需提供学校统一认证平台的对接，实现校内校外统一认证平台的无感单点登录，用户登录统一认证门户之后，无需二次登陆访问业务。</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7、针对HTTP、HTTPS协议的资源，支持单点登录功能，用户登录门户后再访问目标资源时，无须重复认证；无需针对基于HTTP/HTTPS的应用进行适配，包括绝对路径/特殊代码的适配、子域名/外链的适配、网站改版的更新适配。</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8、产品需支持IPV4 /IPV6双栈接入访问，IPV4和IPV6互访。</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9、产品需与门户系统、网上办事大厅等系统做深度融合，保证用户不受时间地点限制，内外网使用体验感完全一致。</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（1）支持个性化门户（包括门户登录页、导航页内容、导航分组及分组内资源链接），可基于用户的访问权限展示其可访问资源导航，并支持用户自定义收藏夹内容；</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（2）支持HTTPS类型Web资源的证书管理，且系统提供受浏览器信任的证书，对集成的门户及系统应用该SSL证书；</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（3）支持根据用户角色、源地址、资源类型、待访问的资源地址四个方面对资源访问进行控制；支持校内资源外网访问（校内已购图书电子资源等）无需进行适配；</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4）支持判断用户的内外网环境，当用户在校内时，无需通过VPN直接访问网上办事大厅，当用户在校外时，自动加载VPN进行访问，并且直接跳转到办事大厅内，无需点任何图标或者链接，提供该功能的说明承诺函并加盖公章。</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★10、支持设置账号有效期，到期后禁止登录，支持管理员手动延长使用期限。（提供系统截图加盖公章）</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产品提供不少于4路ISP网络接入到用户网络，实现不同ISP线路快速接入，并保障访问的源进源出能力</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图书下载要求：</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1、支持已购买的所有图书电子资源外网访问，无需进行适配；</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★2、支持对图书电子资源下载进行限速控制，当用户下载数量超过设定的阈值，给用户自动进行封禁，提供系统截图加盖公章；</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★3、为了方便图书馆进行电子资源访问统计，需要提供针对图书馆资源的报表功能，包括：电子资源访问统计报表、资源下载统计报表、关键字搜索统计报表、用户下载统计报表等，提供系统截图加盖公章。</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信息安全要求：</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4、产品能够有效阻止外部工具对内部业务系统的扫描探测，并针对所发布的浏览器应用进行URL地址伪装，防止服务器真实IP地址泄露，免遭恶意攻击，保障内部系统安全。且所有访问URL加密为不可逆方式连接，跨浏览器无法通过复制粘贴方式进行进一步访问。</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5、产品支持DES、3DES、SHA、RSA等商用密码以及SM2、SM3、SM4国密算法保障传输安全。</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6、产品客户端支持不依赖虚拟网卡方式建立隧道，从而减少系统的兼容性问题。</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★7、支持访问白名单机制，把不在访问策略范围内的资源直接通过原有路径进行访问。</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★8、支持地址轮询，通过多个IP轮询访问电子资源，且支持对特定资源进行流控,有效规避电子资源方将系统IP地址识别为恶意地址，提供系统截图加盖公章。</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★9、支持动态禁止频繁登录失败用户再次尝试，并支持自定义其失败频率阈值及禁止再次登录时间，提供系统截图加盖公章。</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★10、系统具备暴力防破解功能，支持自动异常登陆封禁IP、账号，支持管理员手动解封禁功能，提供系统截图加盖公章。</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兼容性/用户端侧要求：</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1、产品支持主流浏览器访问：chrome、firefox、360、qq、ie11+、edge等。</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2、产品支持手机、笔记本电脑、台式电脑等终端使用，产品支持当前市面上主流的终端操作系统，如：Linux，Windows 7/8/10+，Mac，ios，Android。</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系统要求：</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1、支持在线升级系统且无需重启，保证业务的连续性；</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2、配置数据、日志数据、性能数据分别采用专用数据库存储，优化数据存储结构，提升数据存取效率；</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3、支持监控系统自身运行状态，包括CPU、内存、负载状态、网卡流量以及磁盘使用情况；</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4、提供与操作系统、数据库以及其他平台软件深度整合的统一介质，能够实现操作系统、数据库、其他平台软件和系统的统一安装；</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★5、支持详细的账户控制策略，包括但不限于：登录时间策略、登录密码复杂度、多因子配置（提供产品截图）。</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日志与报表：</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★6、支持记录与查询全量访问日志，包括用户账号、用户IP、终端、请求时间、访问URL、请求结果等，提供系统截图加盖公章；产品日志支持独立审计功能，产品日志需至少保留180天。</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7、支持记录与查询全量登录日志，包括用户账号、用户IP、登录时间及登录结果；</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★8、支持多种日志分析维度（访问量、浏览器、操作系统、设备类型、请求来源地理位置等，并可根据时间段及不同时间维度（日、周、月、年）进行统计，通过可视化图表展示变化趋势）。（提供产品截图）</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9、支持与专业的日志分析平台及态势感知等安全平台对接，可实现将以IP标识的日志转化为以终端+账号为标识。</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vertAlign w:val="baseline"/>
                <w:lang w:val="en-US" w:eastAsia="zh-CN" w:bidi="ar"/>
              </w:rPr>
            </w:pPr>
            <w:r>
              <w:rPr>
                <w:rFonts w:hint="eastAsia" w:ascii="宋体" w:hAnsi="宋体" w:eastAsia="宋体" w:cs="宋体"/>
                <w:b w:val="0"/>
                <w:bCs w:val="0"/>
                <w:color w:val="000000"/>
                <w:kern w:val="0"/>
                <w:sz w:val="24"/>
                <w:szCs w:val="24"/>
                <w:vertAlign w:val="baseline"/>
                <w:lang w:val="en-US" w:eastAsia="zh-CN" w:bidi="ar"/>
              </w:rPr>
              <w:t>服务要求：</w:t>
            </w:r>
          </w:p>
          <w:p>
            <w:pPr>
              <w:pStyle w:val="5"/>
              <w:numPr>
                <w:ilvl w:val="0"/>
                <w:numId w:val="0"/>
              </w:numPr>
              <w:rPr>
                <w:rFonts w:hint="eastAsia" w:ascii="仿宋" w:hAnsi="仿宋" w:eastAsia="仿宋" w:cs="仿宋"/>
                <w:b w:val="0"/>
                <w:bCs w:val="0"/>
                <w:color w:val="auto"/>
                <w:sz w:val="24"/>
                <w:lang w:val="en-US" w:eastAsia="zh-CN" w:bidi="ar"/>
              </w:rPr>
            </w:pPr>
            <w:r>
              <w:rPr>
                <w:rFonts w:hint="eastAsia" w:ascii="宋体" w:hAnsi="宋体" w:eastAsia="宋体" w:cs="宋体"/>
                <w:b w:val="0"/>
                <w:bCs w:val="0"/>
                <w:color w:val="000000"/>
                <w:kern w:val="0"/>
                <w:sz w:val="24"/>
                <w:szCs w:val="24"/>
                <w:vertAlign w:val="baseline"/>
                <w:lang w:val="en-US" w:eastAsia="zh-CN" w:bidi="ar"/>
              </w:rPr>
              <w:t>提供三年原厂质保服务和免费升级服务；</w:t>
            </w:r>
          </w:p>
        </w:tc>
        <w:tc>
          <w:tcPr>
            <w:tcW w:w="825" w:type="dxa"/>
            <w:noWrap w:val="0"/>
            <w:vAlign w:val="center"/>
          </w:tcPr>
          <w:p>
            <w:pPr>
              <w:keepNext w:val="0"/>
              <w:keepLines w:val="0"/>
              <w:widowControl/>
              <w:numPr>
                <w:ilvl w:val="0"/>
                <w:numId w:val="0"/>
              </w:numPr>
              <w:suppressLineNumbers w:val="0"/>
              <w:jc w:val="center"/>
              <w:rPr>
                <w:rFonts w:hint="default" w:ascii="宋体" w:hAnsi="宋体" w:eastAsia="宋体" w:cs="宋体"/>
                <w:b/>
                <w:bCs/>
                <w:color w:val="000000"/>
                <w:kern w:val="0"/>
                <w:sz w:val="24"/>
                <w:szCs w:val="24"/>
                <w:vertAlign w:val="baseline"/>
                <w:lang w:val="en-US" w:eastAsia="zh-CN" w:bidi="ar"/>
              </w:rPr>
            </w:pPr>
          </w:p>
        </w:tc>
        <w:tc>
          <w:tcPr>
            <w:tcW w:w="795" w:type="dxa"/>
            <w:noWrap w:val="0"/>
            <w:vAlign w:val="top"/>
          </w:tcPr>
          <w:p>
            <w:pPr>
              <w:keepNext w:val="0"/>
              <w:keepLines w:val="0"/>
              <w:widowControl/>
              <w:numPr>
                <w:ilvl w:val="0"/>
                <w:numId w:val="0"/>
              </w:numPr>
              <w:suppressLineNumbers w:val="0"/>
              <w:jc w:val="left"/>
              <w:rPr>
                <w:rFonts w:hint="default" w:ascii="宋体" w:hAnsi="宋体" w:eastAsia="宋体" w:cs="宋体"/>
                <w:b/>
                <w:bCs/>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1070" w:type="dxa"/>
            <w:gridSpan w:val="5"/>
            <w:noWrap w:val="0"/>
            <w:vAlign w:val="center"/>
          </w:tcPr>
          <w:p>
            <w:pPr>
              <w:keepNext w:val="0"/>
              <w:keepLines w:val="0"/>
              <w:widowControl/>
              <w:numPr>
                <w:ilvl w:val="0"/>
                <w:numId w:val="0"/>
              </w:numPr>
              <w:suppressLineNumbers w:val="0"/>
              <w:jc w:val="left"/>
              <w:rPr>
                <w:rFonts w:hint="default" w:ascii="宋体" w:hAnsi="宋体" w:eastAsia="宋体" w:cs="宋体"/>
                <w:b/>
                <w:bCs/>
                <w:color w:val="000000"/>
                <w:kern w:val="0"/>
                <w:sz w:val="24"/>
                <w:szCs w:val="24"/>
                <w:vertAlign w:val="baseline"/>
                <w:lang w:val="en-US" w:eastAsia="zh-CN" w:bidi="ar"/>
              </w:rPr>
            </w:pPr>
            <w:r>
              <w:rPr>
                <w:rFonts w:hint="eastAsia" w:ascii="宋体" w:hAnsi="宋体" w:eastAsia="宋体" w:cs="宋体"/>
                <w:b/>
                <w:bCs/>
                <w:color w:val="000000"/>
                <w:kern w:val="0"/>
                <w:sz w:val="24"/>
                <w:szCs w:val="24"/>
                <w:vertAlign w:val="baseline"/>
                <w:lang w:val="en-US" w:eastAsia="zh-CN" w:bidi="ar"/>
              </w:rPr>
              <w:t>注：如以上招标参数中有明显偏向性和专有性参数，请投标单位在参数响应表中备注说明，评标过程中区别对待。</w:t>
            </w:r>
          </w:p>
        </w:tc>
      </w:tr>
    </w:tbl>
    <w:p>
      <w:pPr>
        <w:spacing w:before="157" w:beforeLines="50" w:after="157" w:afterLines="50" w:line="360" w:lineRule="auto"/>
        <w:rPr>
          <w:rFonts w:hint="eastAsia" w:ascii="宋体" w:hAnsi="宋体" w:eastAsia="宋体" w:cs="宋体"/>
          <w:b/>
          <w:bCs/>
          <w:color w:val="000000"/>
          <w:sz w:val="30"/>
          <w:szCs w:val="30"/>
          <w:lang w:val="en-US" w:eastAsia="zh-CN"/>
        </w:rPr>
      </w:pPr>
    </w:p>
    <w:p>
      <w:pPr>
        <w:spacing w:before="157" w:beforeLines="50" w:after="157" w:afterLines="50" w:line="360" w:lineRule="auto"/>
        <w:rPr>
          <w:rFonts w:hint="eastAsia" w:ascii="宋体" w:hAnsi="宋体" w:eastAsia="宋体" w:cs="宋体"/>
          <w:b/>
          <w:bCs/>
          <w:color w:val="000000"/>
          <w:sz w:val="30"/>
          <w:szCs w:val="30"/>
          <w:lang w:val="en-US" w:eastAsia="zh-CN"/>
        </w:rPr>
      </w:pPr>
    </w:p>
    <w:p>
      <w:pPr>
        <w:spacing w:before="157" w:beforeLines="50" w:after="157" w:afterLines="50" w:line="360" w:lineRule="auto"/>
        <w:rPr>
          <w:rFonts w:hint="eastAsia" w:ascii="宋体" w:hAnsi="宋体" w:eastAsia="宋体" w:cs="宋体"/>
          <w:b/>
          <w:bCs/>
          <w:color w:val="000000"/>
          <w:sz w:val="30"/>
          <w:szCs w:val="30"/>
          <w:lang w:val="en-US" w:eastAsia="zh-CN"/>
        </w:rPr>
      </w:pPr>
    </w:p>
    <w:p>
      <w:pPr>
        <w:spacing w:before="157" w:beforeLines="50" w:after="157" w:afterLines="50" w:line="360" w:lineRule="auto"/>
        <w:jc w:val="center"/>
        <w:rPr>
          <w:rFonts w:hint="eastAsia" w:ascii="宋体" w:hAnsi="宋体" w:eastAsia="宋体" w:cs="宋体"/>
          <w:b/>
          <w:bCs/>
          <w:color w:val="000000"/>
          <w:sz w:val="30"/>
          <w:szCs w:val="30"/>
          <w:lang w:val="en-US" w:eastAsia="zh-CN"/>
        </w:rPr>
      </w:pPr>
    </w:p>
    <w:p>
      <w:pPr>
        <w:spacing w:before="157" w:beforeLines="50" w:after="157" w:afterLines="50" w:line="360" w:lineRule="auto"/>
        <w:jc w:val="center"/>
        <w:rPr>
          <w:rFonts w:hint="eastAsia" w:ascii="宋体" w:hAnsi="宋体" w:eastAsia="宋体" w:cs="宋体"/>
          <w:b/>
          <w:bCs/>
          <w:color w:val="000000"/>
          <w:sz w:val="30"/>
          <w:szCs w:val="30"/>
          <w:lang w:val="en-US" w:eastAsia="zh-CN"/>
        </w:rPr>
      </w:pPr>
    </w:p>
    <w:p>
      <w:pPr>
        <w:spacing w:before="157" w:beforeLines="50" w:after="157" w:afterLines="50" w:line="360" w:lineRule="auto"/>
        <w:jc w:val="center"/>
        <w:rPr>
          <w:rFonts w:hint="eastAsia" w:ascii="宋体" w:hAnsi="宋体" w:eastAsia="宋体" w:cs="宋体"/>
          <w:b/>
          <w:bCs/>
          <w:color w:val="000000"/>
          <w:sz w:val="30"/>
          <w:szCs w:val="30"/>
          <w:lang w:val="en-US" w:eastAsia="zh-CN"/>
        </w:rPr>
      </w:pPr>
    </w:p>
    <w:p>
      <w:pPr>
        <w:spacing w:before="157" w:beforeLines="50" w:after="157" w:afterLines="50" w:line="360" w:lineRule="auto"/>
        <w:jc w:val="center"/>
        <w:rPr>
          <w:rFonts w:hint="eastAsia" w:ascii="宋体" w:hAnsi="宋体" w:eastAsia="宋体" w:cs="宋体"/>
          <w:b/>
          <w:bCs/>
          <w:color w:val="000000"/>
          <w:sz w:val="30"/>
          <w:szCs w:val="30"/>
          <w:lang w:val="en-US" w:eastAsia="zh-CN"/>
        </w:rPr>
      </w:pPr>
    </w:p>
    <w:p>
      <w:pPr>
        <w:spacing w:before="157" w:beforeLines="50" w:after="157" w:afterLines="50" w:line="360" w:lineRule="auto"/>
        <w:jc w:val="center"/>
        <w:rPr>
          <w:rFonts w:hint="eastAsia" w:ascii="宋体" w:hAnsi="宋体" w:eastAsia="宋体" w:cs="宋体"/>
          <w:b/>
          <w:bCs/>
          <w:color w:val="000000"/>
          <w:sz w:val="30"/>
          <w:szCs w:val="30"/>
          <w:lang w:val="en-US" w:eastAsia="zh-CN"/>
        </w:rPr>
      </w:pPr>
    </w:p>
    <w:p>
      <w:pPr>
        <w:pStyle w:val="16"/>
        <w:spacing w:beforeAutospacing="0" w:afterAutospacing="0" w:line="360" w:lineRule="auto"/>
        <w:ind w:left="-1" w:leftChars="-1" w:right="275" w:rightChars="131" w:hanging="1"/>
        <w:jc w:val="both"/>
        <w:outlineLvl w:val="0"/>
        <w:rPr>
          <w:rFonts w:hint="eastAsia" w:eastAsia="宋体" w:cs="宋体"/>
          <w:b/>
          <w:bCs/>
          <w:color w:val="000000"/>
          <w:sz w:val="28"/>
          <w:szCs w:val="28"/>
          <w:lang w:val="en-US" w:eastAsia="zh-CN"/>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二</w:t>
      </w:r>
      <w:r>
        <w:rPr>
          <w:rFonts w:hint="eastAsia" w:eastAsia="宋体" w:cs="宋体"/>
          <w:b/>
          <w:bCs/>
          <w:color w:val="000000"/>
          <w:sz w:val="28"/>
          <w:szCs w:val="28"/>
          <w:lang w:val="en-US" w:eastAsia="zh-CN"/>
        </w:rPr>
        <w:t xml:space="preserve">                </w:t>
      </w:r>
    </w:p>
    <w:p>
      <w:pPr>
        <w:pStyle w:val="16"/>
        <w:spacing w:beforeAutospacing="0" w:afterAutospacing="0" w:line="360" w:lineRule="auto"/>
        <w:ind w:right="275" w:rightChars="131"/>
        <w:jc w:val="center"/>
        <w:outlineLvl w:val="0"/>
        <w:rPr>
          <w:rFonts w:hint="eastAsia"/>
          <w:b/>
          <w:color w:val="000000"/>
          <w:kern w:val="2"/>
          <w:sz w:val="32"/>
          <w:szCs w:val="32"/>
        </w:rPr>
      </w:pPr>
      <w:r>
        <w:rPr>
          <w:rFonts w:hint="eastAsia"/>
          <w:b/>
          <w:color w:val="000000"/>
          <w:kern w:val="2"/>
          <w:sz w:val="32"/>
          <w:szCs w:val="32"/>
        </w:rPr>
        <w:t>投标</w:t>
      </w:r>
      <w:r>
        <w:rPr>
          <w:rFonts w:hint="eastAsia"/>
          <w:b/>
          <w:color w:val="000000"/>
          <w:kern w:val="2"/>
          <w:sz w:val="32"/>
          <w:szCs w:val="32"/>
          <w:lang w:eastAsia="zh-CN"/>
        </w:rPr>
        <w:t>主要标准</w:t>
      </w:r>
      <w:r>
        <w:rPr>
          <w:rFonts w:hint="eastAsia"/>
          <w:b/>
          <w:color w:val="000000"/>
          <w:kern w:val="2"/>
          <w:sz w:val="32"/>
          <w:szCs w:val="32"/>
        </w:rPr>
        <w:t>文件格式</w:t>
      </w:r>
    </w:p>
    <w:p>
      <w:pPr>
        <w:spacing w:line="360" w:lineRule="exact"/>
        <w:ind w:left="-1" w:leftChars="-1" w:right="275" w:rightChars="131" w:hanging="1"/>
        <w:jc w:val="center"/>
        <w:rPr>
          <w:rFonts w:hint="eastAsia" w:ascii="宋体" w:hAnsi="宋体"/>
          <w:b/>
          <w:bCs/>
          <w:color w:val="000000"/>
          <w:sz w:val="32"/>
          <w:szCs w:val="32"/>
          <w:lang w:eastAsia="zh-CN"/>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lang w:eastAsia="zh-CN"/>
        </w:rPr>
        <w:t>（</w:t>
      </w:r>
      <w:r>
        <w:rPr>
          <w:rFonts w:hint="eastAsia" w:ascii="宋体" w:hAnsi="宋体"/>
          <w:b/>
          <w:bCs/>
          <w:color w:val="000000"/>
          <w:sz w:val="32"/>
          <w:szCs w:val="32"/>
          <w:lang w:val="en-US" w:eastAsia="zh-CN"/>
        </w:rPr>
        <w:t>一</w:t>
      </w:r>
      <w:r>
        <w:rPr>
          <w:rFonts w:hint="eastAsia" w:ascii="宋体" w:hAnsi="宋体"/>
          <w:b/>
          <w:bCs/>
          <w:color w:val="000000"/>
          <w:sz w:val="32"/>
          <w:szCs w:val="32"/>
          <w:lang w:eastAsia="zh-CN"/>
        </w:rPr>
        <w:t>）投标封面格式</w:t>
      </w:r>
    </w:p>
    <w:p>
      <w:pPr>
        <w:spacing w:line="360" w:lineRule="auto"/>
        <w:ind w:left="-1" w:leftChars="-1" w:right="275" w:rightChars="131" w:hanging="1"/>
        <w:jc w:val="center"/>
        <w:outlineLvl w:val="0"/>
        <w:rPr>
          <w:rFonts w:hint="eastAsia" w:ascii="宋体" w:hAnsi="宋体"/>
          <w:b/>
          <w:bCs/>
          <w:color w:val="000000"/>
          <w:sz w:val="32"/>
          <w:szCs w:val="32"/>
        </w:rPr>
      </w:pPr>
    </w:p>
    <w:p>
      <w:pPr>
        <w:adjustRightInd w:val="0"/>
        <w:snapToGrid w:val="0"/>
        <w:spacing w:before="62" w:beforeLines="20" w:after="62" w:afterLines="20" w:line="540" w:lineRule="exact"/>
        <w:ind w:left="-1" w:leftChars="-1" w:hanging="1"/>
        <w:rPr>
          <w:rFonts w:hint="eastAsia" w:ascii="宋体" w:hAnsi="宋体"/>
          <w:b/>
          <w:color w:val="000000"/>
          <w:sz w:val="28"/>
          <w:szCs w:val="28"/>
          <w:u w:val="single"/>
        </w:rPr>
      </w:pPr>
      <w:r>
        <w:rPr>
          <w:rFonts w:hint="eastAsia" w:ascii="宋体" w:hAnsi="宋体"/>
          <w:b/>
          <w:color w:val="000000"/>
        </w:rPr>
        <w:t xml:space="preserve">             </w:t>
      </w:r>
      <w:r>
        <w:rPr>
          <w:rFonts w:hint="eastAsia" w:ascii="宋体" w:hAnsi="宋体"/>
          <w:b/>
          <w:color w:val="000000"/>
          <w:sz w:val="24"/>
        </w:rPr>
        <w:t xml:space="preserve"> </w:t>
      </w:r>
      <w:r>
        <w:rPr>
          <w:rFonts w:hint="eastAsia" w:ascii="宋体" w:hAnsi="宋体"/>
          <w:b/>
          <w:color w:val="000000"/>
          <w:sz w:val="28"/>
          <w:szCs w:val="28"/>
          <w:u w:val="single"/>
        </w:rPr>
        <w:t xml:space="preserve">                                     </w:t>
      </w:r>
      <w:r>
        <w:rPr>
          <w:rFonts w:hint="eastAsia" w:ascii="宋体" w:hAnsi="宋体"/>
          <w:b/>
          <w:color w:val="000000"/>
          <w:sz w:val="28"/>
          <w:szCs w:val="28"/>
        </w:rPr>
        <w:t>项目招标</w:t>
      </w: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color w:val="000000"/>
          <w:sz w:val="52"/>
          <w:szCs w:val="52"/>
          <w:lang w:val="en-US" w:eastAsia="zh-CN"/>
        </w:rPr>
        <w:t xml:space="preserve"> </w:t>
      </w:r>
      <w:r>
        <w:rPr>
          <w:rFonts w:hint="eastAsia" w:ascii="宋体" w:hAnsi="宋体"/>
          <w:b/>
          <w:bCs/>
          <w:color w:val="000000"/>
          <w:sz w:val="52"/>
          <w:szCs w:val="52"/>
        </w:rPr>
        <w:t>投</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8"/>
          <w:szCs w:val="28"/>
        </w:rPr>
      </w:pPr>
      <w:r>
        <w:rPr>
          <w:rFonts w:hint="eastAsia" w:ascii="宋体" w:hAnsi="宋体"/>
          <w:b/>
          <w:bCs/>
          <w:color w:val="000000"/>
          <w:sz w:val="52"/>
          <w:szCs w:val="52"/>
        </w:rPr>
        <w:t xml:space="preserve"> 件</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4"/>
        </w:rPr>
      </w:pPr>
    </w:p>
    <w:p>
      <w:pPr>
        <w:pStyle w:val="6"/>
        <w:adjustRightInd w:val="0"/>
        <w:snapToGrid w:val="0"/>
        <w:spacing w:before="62" w:beforeLines="20" w:after="62" w:afterLines="20" w:line="540" w:lineRule="exact"/>
        <w:rPr>
          <w:rFonts w:hint="default" w:ascii="宋体" w:hAnsi="宋体"/>
          <w:color w:val="000000"/>
          <w:sz w:val="28"/>
          <w:szCs w:val="28"/>
          <w:u w:val="single"/>
          <w:lang w:val="en-US"/>
        </w:rPr>
      </w:pPr>
      <w:r>
        <w:rPr>
          <w:rFonts w:hint="eastAsia" w:ascii="宋体" w:hAnsi="宋体"/>
          <w:b/>
          <w:bCs/>
          <w:color w:val="000000"/>
          <w:kern w:val="2"/>
          <w:sz w:val="28"/>
          <w:szCs w:val="28"/>
          <w:lang w:val="en-US" w:eastAsia="zh-CN" w:bidi="ar-SA"/>
        </w:rPr>
        <w:t>招标编号：</w:t>
      </w:r>
      <w:r>
        <w:rPr>
          <w:rFonts w:hint="eastAsia" w:ascii="宋体" w:hAnsi="宋体"/>
          <w:b/>
          <w:bCs/>
          <w:color w:val="000000"/>
          <w:kern w:val="2"/>
          <w:sz w:val="28"/>
          <w:szCs w:val="28"/>
          <w:u w:val="single"/>
          <w:lang w:val="en-US" w:eastAsia="zh-CN" w:bidi="ar-SA"/>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项目名称：</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rPr>
      </w:pPr>
      <w:r>
        <w:rPr>
          <w:rFonts w:hint="eastAsia" w:ascii="宋体" w:hAnsi="宋体"/>
          <w:b/>
          <w:bCs/>
          <w:color w:val="000000"/>
          <w:sz w:val="28"/>
          <w:szCs w:val="28"/>
        </w:rPr>
        <w:t>投标文件内容：</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r>
        <w:rPr>
          <w:rFonts w:hint="eastAsia" w:ascii="宋体" w:hAnsi="宋体"/>
          <w:b/>
          <w:bCs/>
          <w:color w:val="auto"/>
          <w:sz w:val="28"/>
          <w:szCs w:val="28"/>
          <w:highlight w:val="none"/>
          <w:u w:val="single"/>
        </w:rPr>
        <w:t>商务标</w:t>
      </w:r>
      <w:r>
        <w:rPr>
          <w:rFonts w:hint="eastAsia" w:ascii="宋体" w:hAnsi="宋体"/>
          <w:b/>
          <w:bCs/>
          <w:color w:val="auto"/>
          <w:sz w:val="28"/>
          <w:szCs w:val="28"/>
          <w:highlight w:val="none"/>
          <w:u w:val="single"/>
          <w:lang w:val="en-US" w:eastAsia="zh-CN"/>
        </w:rPr>
        <w:t>/技术标</w:t>
      </w:r>
      <w:r>
        <w:rPr>
          <w:rFonts w:hint="eastAsia" w:ascii="宋体" w:hAnsi="宋体"/>
          <w:b/>
          <w:bCs/>
          <w:color w:val="auto"/>
          <w:sz w:val="28"/>
          <w:szCs w:val="28"/>
          <w:highlight w:val="none"/>
          <w:u w:val="single"/>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投 标 人</w:t>
      </w:r>
      <w:r>
        <w:rPr>
          <w:rFonts w:hint="eastAsia" w:ascii="宋体" w:hAnsi="宋体"/>
          <w:b/>
          <w:bCs/>
          <w:color w:val="000000"/>
          <w:sz w:val="28"/>
          <w:szCs w:val="28"/>
          <w:lang w:eastAsia="zh-CN"/>
        </w:rPr>
        <w:t>（联系方式）</w:t>
      </w:r>
      <w:r>
        <w:rPr>
          <w:rFonts w:hint="eastAsia" w:ascii="宋体" w:hAnsi="宋体"/>
          <w:b/>
          <w:bCs/>
          <w:color w:val="000000"/>
          <w:sz w:val="28"/>
          <w:szCs w:val="28"/>
        </w:rPr>
        <w:t>：</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（盖公章）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法定代表人或其委托代理人：</w:t>
      </w:r>
      <w:r>
        <w:rPr>
          <w:rFonts w:hint="eastAsia" w:ascii="宋体" w:hAnsi="宋体"/>
          <w:b/>
          <w:bCs/>
          <w:color w:val="000000"/>
          <w:sz w:val="28"/>
          <w:szCs w:val="28"/>
          <w:u w:val="single"/>
        </w:rPr>
        <w:t xml:space="preserve">      （签字、盖章）          </w:t>
      </w:r>
    </w:p>
    <w:p>
      <w:pPr>
        <w:adjustRightInd w:val="0"/>
        <w:snapToGrid w:val="0"/>
        <w:spacing w:before="62" w:beforeLines="20" w:after="62" w:afterLines="20" w:line="540" w:lineRule="exact"/>
        <w:ind w:left="-1" w:leftChars="-1" w:hanging="1"/>
        <w:rPr>
          <w:rFonts w:hint="eastAsia" w:ascii="宋体" w:hAnsi="宋体"/>
          <w:b/>
          <w:color w:val="000000"/>
          <w:sz w:val="28"/>
          <w:szCs w:val="28"/>
        </w:rPr>
      </w:pPr>
    </w:p>
    <w:p>
      <w:pPr>
        <w:adjustRightInd w:val="0"/>
        <w:snapToGrid w:val="0"/>
        <w:spacing w:before="62" w:beforeLines="20" w:after="62" w:afterLines="20" w:line="540" w:lineRule="exact"/>
        <w:ind w:left="-1" w:leftChars="-1" w:hanging="1"/>
        <w:jc w:val="center"/>
        <w:rPr>
          <w:rFonts w:hint="eastAsia" w:ascii="宋体" w:hAnsi="宋体"/>
          <w:b/>
          <w:bCs/>
          <w:color w:val="000000"/>
          <w:sz w:val="32"/>
          <w:szCs w:val="32"/>
        </w:rPr>
      </w:pPr>
      <w:r>
        <w:rPr>
          <w:rFonts w:hint="eastAsia" w:ascii="宋体" w:hAnsi="宋体"/>
          <w:b/>
          <w:color w:val="000000"/>
          <w:sz w:val="28"/>
          <w:szCs w:val="28"/>
        </w:rPr>
        <w:t>日  期：</w:t>
      </w:r>
      <w:r>
        <w:rPr>
          <w:rFonts w:hint="eastAsia" w:ascii="宋体" w:hAnsi="宋体"/>
          <w:b/>
          <w:color w:val="000000"/>
          <w:sz w:val="28"/>
          <w:szCs w:val="28"/>
          <w:u w:val="single"/>
        </w:rPr>
        <w:t xml:space="preserve">      </w:t>
      </w:r>
      <w:r>
        <w:rPr>
          <w:rFonts w:hint="eastAsia" w:ascii="宋体" w:hAnsi="宋体"/>
          <w:b/>
          <w:color w:val="000000"/>
          <w:sz w:val="28"/>
          <w:szCs w:val="28"/>
        </w:rPr>
        <w:t xml:space="preserve"> 年</w:t>
      </w:r>
      <w:r>
        <w:rPr>
          <w:rFonts w:hint="eastAsia" w:ascii="宋体" w:hAnsi="宋体"/>
          <w:b/>
          <w:color w:val="000000"/>
          <w:sz w:val="28"/>
          <w:szCs w:val="28"/>
          <w:u w:val="single"/>
        </w:rPr>
        <w:t xml:space="preserve">     </w:t>
      </w:r>
      <w:r>
        <w:rPr>
          <w:rFonts w:hint="eastAsia" w:ascii="宋体" w:hAnsi="宋体"/>
          <w:b/>
          <w:color w:val="000000"/>
          <w:sz w:val="28"/>
          <w:szCs w:val="28"/>
        </w:rPr>
        <w:t xml:space="preserve"> 月</w:t>
      </w:r>
      <w:r>
        <w:rPr>
          <w:rFonts w:hint="eastAsia" w:ascii="宋体" w:hAnsi="宋体"/>
          <w:b/>
          <w:color w:val="000000"/>
          <w:sz w:val="28"/>
          <w:szCs w:val="28"/>
          <w:u w:val="single"/>
        </w:rPr>
        <w:t xml:space="preserve">     </w:t>
      </w:r>
      <w:r>
        <w:rPr>
          <w:rFonts w:hint="eastAsia" w:ascii="宋体" w:hAnsi="宋体"/>
          <w:b/>
          <w:color w:val="000000"/>
          <w:sz w:val="28"/>
          <w:szCs w:val="28"/>
        </w:rPr>
        <w:t>日</w:t>
      </w:r>
    </w:p>
    <w:p>
      <w:pPr>
        <w:spacing w:line="360" w:lineRule="exact"/>
        <w:ind w:left="-1" w:leftChars="-1" w:right="275" w:rightChars="131" w:hanging="1"/>
        <w:jc w:val="center"/>
        <w:rPr>
          <w:rFonts w:hint="eastAsia" w:ascii="宋体" w:hAnsi="宋体"/>
          <w:b/>
          <w:bCs/>
          <w:color w:val="000000"/>
          <w:sz w:val="32"/>
          <w:szCs w:val="32"/>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二</w:t>
      </w:r>
      <w:r>
        <w:rPr>
          <w:rFonts w:hint="eastAsia" w:ascii="宋体" w:hAnsi="宋体"/>
          <w:b/>
          <w:bCs/>
          <w:color w:val="000000"/>
          <w:sz w:val="32"/>
          <w:szCs w:val="32"/>
        </w:rPr>
        <w:t>）法定代表人身份证明书</w:t>
      </w:r>
    </w:p>
    <w:p>
      <w:pPr>
        <w:spacing w:line="360" w:lineRule="exact"/>
        <w:ind w:left="-1" w:leftChars="-1" w:right="275" w:rightChars="131" w:hanging="1"/>
        <w:jc w:val="center"/>
        <w:rPr>
          <w:rFonts w:hint="eastAsia" w:ascii="宋体" w:hAnsi="宋体"/>
          <w:b/>
          <w:bCs/>
          <w:color w:val="000000"/>
          <w:sz w:val="24"/>
        </w:rPr>
      </w:pPr>
    </w:p>
    <w:p>
      <w:pPr>
        <w:spacing w:line="360" w:lineRule="exact"/>
        <w:ind w:left="-1" w:leftChars="-1" w:right="275" w:rightChars="131" w:hanging="1"/>
        <w:jc w:val="center"/>
        <w:rPr>
          <w:rFonts w:hint="eastAsia" w:ascii="宋体" w:hAnsi="宋体"/>
          <w:b/>
          <w:bCs/>
          <w:color w:val="000000"/>
          <w:sz w:val="24"/>
        </w:rPr>
      </w:pP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单位名称：</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单位性质：</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地    址：</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成立时间：</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经营期限：</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姓    名：</w:t>
      </w:r>
      <w:r>
        <w:rPr>
          <w:rFonts w:hint="eastAsia" w:ascii="宋体" w:hAnsi="宋体"/>
          <w:color w:val="000000"/>
          <w:sz w:val="24"/>
          <w:u w:val="thick"/>
        </w:rPr>
        <w:t xml:space="preserve">        </w:t>
      </w:r>
      <w:r>
        <w:rPr>
          <w:rFonts w:hint="eastAsia" w:ascii="宋体" w:hAnsi="宋体"/>
          <w:color w:val="000000"/>
          <w:sz w:val="24"/>
        </w:rPr>
        <w:t>性别：</w:t>
      </w:r>
      <w:r>
        <w:rPr>
          <w:rFonts w:hint="eastAsia" w:ascii="宋体" w:hAnsi="宋体"/>
          <w:color w:val="000000"/>
          <w:sz w:val="24"/>
          <w:u w:val="thick"/>
        </w:rPr>
        <w:t xml:space="preserve">        </w:t>
      </w:r>
      <w:r>
        <w:rPr>
          <w:rFonts w:hint="eastAsia" w:ascii="宋体" w:hAnsi="宋体"/>
          <w:color w:val="000000"/>
          <w:sz w:val="24"/>
        </w:rPr>
        <w:t>年龄：</w:t>
      </w:r>
      <w:r>
        <w:rPr>
          <w:rFonts w:hint="eastAsia" w:ascii="宋体" w:hAnsi="宋体"/>
          <w:color w:val="000000"/>
          <w:sz w:val="24"/>
          <w:u w:val="thick"/>
        </w:rPr>
        <w:t xml:space="preserve">         </w:t>
      </w:r>
      <w:r>
        <w:rPr>
          <w:rFonts w:hint="eastAsia" w:ascii="宋体" w:hAnsi="宋体"/>
          <w:color w:val="000000"/>
          <w:sz w:val="24"/>
        </w:rPr>
        <w:t>职务：</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thick"/>
        </w:rPr>
        <w:t xml:space="preserve">                               </w:t>
      </w:r>
      <w:r>
        <w:rPr>
          <w:rFonts w:hint="eastAsia" w:ascii="宋体" w:hAnsi="宋体"/>
          <w:color w:val="000000"/>
          <w:sz w:val="24"/>
        </w:rPr>
        <w:t>的法定代表人。</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特此证明。</w:t>
      </w: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2" w:leftChars="-1" w:right="275" w:rightChars="131" w:firstLine="3960" w:firstLineChars="1650"/>
        <w:rPr>
          <w:rFonts w:hint="eastAsia" w:ascii="宋体" w:hAnsi="宋体"/>
          <w:color w:val="000000"/>
          <w:sz w:val="24"/>
          <w:u w:val="thick"/>
        </w:rPr>
      </w:pPr>
      <w:r>
        <w:rPr>
          <w:rFonts w:hint="eastAsia" w:ascii="宋体" w:hAnsi="宋体"/>
          <w:color w:val="000000"/>
          <w:sz w:val="24"/>
        </w:rPr>
        <w:t>投标人：</w:t>
      </w:r>
      <w:r>
        <w:rPr>
          <w:rFonts w:hint="eastAsia" w:ascii="宋体" w:hAnsi="宋体"/>
          <w:color w:val="000000"/>
          <w:sz w:val="24"/>
          <w:u w:val="thick"/>
        </w:rPr>
        <w:t xml:space="preserve">                          </w:t>
      </w:r>
    </w:p>
    <w:p>
      <w:pPr>
        <w:spacing w:line="760" w:lineRule="exact"/>
        <w:ind w:left="-1" w:leftChars="-1" w:right="275" w:rightChars="131" w:hanging="1"/>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日  期：</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360" w:lineRule="exact"/>
        <w:ind w:left="-1" w:leftChars="-1" w:right="275" w:rightChars="131" w:hanging="1"/>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三</w:t>
      </w:r>
      <w:r>
        <w:rPr>
          <w:rFonts w:hint="eastAsia" w:ascii="宋体" w:hAnsi="宋体"/>
          <w:b/>
          <w:bCs/>
          <w:color w:val="000000"/>
          <w:sz w:val="32"/>
          <w:szCs w:val="32"/>
        </w:rPr>
        <w:t>）投标授权委托书</w:t>
      </w:r>
    </w:p>
    <w:p>
      <w:pPr>
        <w:spacing w:line="540" w:lineRule="exact"/>
        <w:ind w:left="-1" w:leftChars="-1" w:right="275" w:rightChars="131" w:hanging="1"/>
        <w:rPr>
          <w:rFonts w:hint="eastAsia" w:ascii="宋体" w:hAnsi="宋体"/>
          <w:color w:val="000000"/>
          <w:sz w:val="24"/>
        </w:rPr>
      </w:pPr>
    </w:p>
    <w:p>
      <w:pPr>
        <w:spacing w:line="540" w:lineRule="exact"/>
        <w:ind w:right="275" w:rightChars="131" w:firstLine="480" w:firstLineChars="200"/>
        <w:rPr>
          <w:rFonts w:hint="eastAsia" w:ascii="宋体" w:hAnsi="宋体"/>
          <w:color w:val="000000"/>
          <w:sz w:val="24"/>
          <w:u w:val="single"/>
        </w:rPr>
      </w:pPr>
      <w:r>
        <w:rPr>
          <w:rFonts w:hint="eastAsia" w:ascii="宋体" w:hAnsi="宋体"/>
          <w:color w:val="000000"/>
          <w:sz w:val="24"/>
        </w:rPr>
        <w:t>本授权委托书声明：我</w:t>
      </w:r>
      <w:r>
        <w:rPr>
          <w:rFonts w:hint="eastAsia" w:ascii="宋体" w:hAnsi="宋体"/>
          <w:color w:val="000000"/>
          <w:sz w:val="24"/>
          <w:u w:val="single"/>
        </w:rPr>
        <w:t xml:space="preserve">（姓名）         </w:t>
      </w:r>
      <w:r>
        <w:rPr>
          <w:rFonts w:hint="eastAsia" w:ascii="宋体" w:hAnsi="宋体"/>
          <w:color w:val="000000"/>
          <w:sz w:val="24"/>
        </w:rPr>
        <w:t>系</w:t>
      </w:r>
      <w:r>
        <w:rPr>
          <w:rFonts w:hint="eastAsia" w:ascii="宋体" w:hAnsi="宋体"/>
          <w:color w:val="000000"/>
          <w:sz w:val="24"/>
          <w:u w:val="single"/>
        </w:rPr>
        <w:t xml:space="preserve">                  （投标单位名称）</w:t>
      </w:r>
      <w:r>
        <w:rPr>
          <w:rFonts w:hint="eastAsia" w:ascii="宋体" w:hAnsi="宋体"/>
          <w:color w:val="000000"/>
          <w:sz w:val="24"/>
        </w:rPr>
        <w:t>的法定代表人，身份证号：</w:t>
      </w:r>
      <w:r>
        <w:rPr>
          <w:rFonts w:hint="eastAsia" w:ascii="宋体" w:hAnsi="宋体"/>
          <w:color w:val="000000"/>
          <w:sz w:val="24"/>
          <w:u w:val="single"/>
        </w:rPr>
        <w:t xml:space="preserve">                   </w:t>
      </w:r>
      <w:r>
        <w:rPr>
          <w:rFonts w:hint="eastAsia" w:ascii="宋体" w:hAnsi="宋体"/>
          <w:color w:val="000000"/>
          <w:sz w:val="24"/>
        </w:rPr>
        <w:t>，现授权委托本单位：</w:t>
      </w:r>
      <w:r>
        <w:rPr>
          <w:rFonts w:hint="eastAsia" w:ascii="宋体" w:hAnsi="宋体"/>
          <w:color w:val="000000"/>
          <w:sz w:val="24"/>
          <w:u w:val="single"/>
        </w:rPr>
        <w:t xml:space="preserve">             </w:t>
      </w:r>
      <w:r>
        <w:rPr>
          <w:rFonts w:hint="eastAsia" w:ascii="宋体" w:hAnsi="宋体"/>
          <w:color w:val="000000"/>
          <w:sz w:val="24"/>
        </w:rPr>
        <w:t>的同志为我公司的合法代理人，就（项目名称）</w:t>
      </w:r>
      <w:r>
        <w:rPr>
          <w:rFonts w:hint="eastAsia" w:ascii="宋体" w:hAnsi="宋体"/>
          <w:color w:val="000000"/>
          <w:sz w:val="24"/>
          <w:u w:val="single"/>
        </w:rPr>
        <w:t xml:space="preserve">                     </w:t>
      </w:r>
      <w:r>
        <w:rPr>
          <w:rFonts w:hint="eastAsia" w:ascii="宋体" w:hAnsi="宋体"/>
          <w:color w:val="000000"/>
          <w:sz w:val="24"/>
        </w:rPr>
        <w:t>的投标，以本公司的名义签署投标书，解释投标文件，进行合同谈判、签署合同及处理与之有关的一切事宜。</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r>
        <w:rPr>
          <w:rFonts w:hint="eastAsia" w:ascii="宋体" w:hAnsi="宋体"/>
          <w:color w:val="000000"/>
          <w:sz w:val="24"/>
        </w:rPr>
        <w:t>代理人无转委托权，特此委托。</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（签字）</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（盖章）</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xml:space="preserve">                             （签字或盖章）</w:t>
      </w:r>
    </w:p>
    <w:p>
      <w:pPr>
        <w:spacing w:line="540" w:lineRule="exact"/>
        <w:ind w:left="-1" w:leftChars="-1" w:right="275" w:rightChars="131" w:hanging="1"/>
        <w:rPr>
          <w:rFonts w:hint="eastAsia" w:ascii="宋体" w:hAnsi="宋体"/>
          <w:color w:val="000000"/>
          <w:sz w:val="24"/>
          <w:u w:val="single"/>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r>
        <w:rPr>
          <w:rFonts w:hint="eastAsia" w:ascii="宋体" w:hAnsi="宋体"/>
          <w:color w:val="000000"/>
          <w:sz w:val="24"/>
        </w:rPr>
        <w:t>授权委托日期：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540" w:lineRule="exact"/>
        <w:ind w:left="-1" w:leftChars="-1" w:right="275" w:rightChars="131" w:hanging="1"/>
        <w:jc w:val="right"/>
        <w:rPr>
          <w:rFonts w:hint="eastAsia" w:ascii="宋体" w:hAnsi="宋体"/>
          <w:color w:val="000000"/>
          <w:sz w:val="24"/>
        </w:rPr>
      </w:pPr>
    </w:p>
    <w:p>
      <w:pPr>
        <w:spacing w:line="360" w:lineRule="auto"/>
        <w:ind w:left="-1" w:leftChars="-1" w:right="275" w:rightChars="131" w:hanging="1"/>
        <w:jc w:val="right"/>
        <w:rPr>
          <w:rFonts w:hint="eastAsia" w:ascii="宋体" w:hAnsi="宋体"/>
          <w:b/>
          <w:color w:val="000000"/>
          <w:sz w:val="24"/>
        </w:rPr>
      </w:pPr>
    </w:p>
    <w:p>
      <w:pPr>
        <w:spacing w:line="360" w:lineRule="auto"/>
        <w:ind w:left="-1" w:leftChars="-1" w:right="275" w:rightChars="131" w:hanging="1"/>
        <w:jc w:val="center"/>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numPr>
          <w:ilvl w:val="0"/>
          <w:numId w:val="0"/>
        </w:numPr>
        <w:spacing w:line="360" w:lineRule="auto"/>
        <w:ind w:leftChars="0" w:right="275" w:rightChars="131"/>
        <w:jc w:val="center"/>
        <w:rPr>
          <w:rFonts w:hint="eastAsia" w:ascii="宋体" w:hAnsi="宋体"/>
          <w:b/>
          <w:bCs/>
          <w:color w:val="000000"/>
          <w:sz w:val="32"/>
          <w:szCs w:val="32"/>
          <w:lang w:eastAsia="zh-CN"/>
        </w:rPr>
      </w:pPr>
    </w:p>
    <w:p>
      <w:pPr>
        <w:numPr>
          <w:ilvl w:val="0"/>
          <w:numId w:val="0"/>
        </w:numPr>
        <w:spacing w:line="360" w:lineRule="auto"/>
        <w:ind w:leftChars="0" w:right="275" w:rightChars="131"/>
        <w:jc w:val="center"/>
        <w:rPr>
          <w:rFonts w:hint="eastAsia" w:ascii="宋体" w:hAnsi="宋体"/>
          <w:b/>
          <w:bCs/>
          <w:color w:val="000000"/>
          <w:sz w:val="32"/>
          <w:szCs w:val="32"/>
        </w:rPr>
      </w:pPr>
      <w:r>
        <w:rPr>
          <w:rFonts w:hint="eastAsia" w:ascii="宋体" w:hAnsi="宋体"/>
          <w:b/>
          <w:bCs/>
          <w:color w:val="000000"/>
          <w:sz w:val="32"/>
          <w:szCs w:val="32"/>
          <w:lang w:eastAsia="zh-CN"/>
        </w:rPr>
        <w:t>（四）</w:t>
      </w:r>
      <w:r>
        <w:rPr>
          <w:rFonts w:hint="eastAsia" w:ascii="宋体" w:hAnsi="宋体"/>
          <w:b/>
          <w:bCs/>
          <w:color w:val="000000"/>
          <w:sz w:val="32"/>
          <w:szCs w:val="32"/>
        </w:rPr>
        <w:t>投标函</w:t>
      </w:r>
    </w:p>
    <w:p>
      <w:pPr>
        <w:spacing w:line="480" w:lineRule="atLeast"/>
        <w:ind w:left="-1" w:leftChars="-1" w:right="275" w:rightChars="131" w:hanging="1"/>
        <w:rPr>
          <w:rFonts w:hint="eastAsia" w:ascii="宋体" w:hAnsi="宋体" w:eastAsia="宋体"/>
          <w:color w:val="000000"/>
          <w:sz w:val="24"/>
          <w:u w:val="single"/>
          <w:lang w:eastAsia="zh-CN"/>
        </w:rPr>
      </w:pPr>
      <w:r>
        <w:rPr>
          <w:rFonts w:hint="eastAsia" w:ascii="宋体" w:hAnsi="宋体"/>
          <w:color w:val="000000"/>
          <w:sz w:val="24"/>
        </w:rPr>
        <w:t>致：</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1、根据贵方的</w:t>
      </w:r>
      <w:r>
        <w:rPr>
          <w:rFonts w:hint="eastAsia" w:ascii="宋体" w:hAnsi="宋体"/>
          <w:color w:val="000000"/>
          <w:sz w:val="24"/>
          <w:u w:val="single"/>
        </w:rPr>
        <w:t xml:space="preserve">                 </w:t>
      </w:r>
      <w:r>
        <w:rPr>
          <w:rFonts w:hint="eastAsia" w:ascii="宋体" w:hAnsi="宋体"/>
          <w:color w:val="000000"/>
          <w:sz w:val="24"/>
        </w:rPr>
        <w:t>项目招标文件，遵照《中华人民共和国招标投标法》等相关规定，经踏勘项目现场和研究上述招标文件、招标答疑及其他有关文件后；我方愿以</w:t>
      </w:r>
      <w:r>
        <w:rPr>
          <w:rFonts w:hint="eastAsia" w:ascii="宋体" w:hAnsi="宋体"/>
          <w:b/>
          <w:bCs/>
          <w:color w:val="000000"/>
          <w:sz w:val="24"/>
          <w:u w:val="single"/>
        </w:rPr>
        <w:t>投标函</w:t>
      </w:r>
      <w:r>
        <w:rPr>
          <w:rFonts w:hint="eastAsia" w:ascii="宋体" w:hAnsi="宋体"/>
          <w:color w:val="000000"/>
          <w:sz w:val="24"/>
        </w:rPr>
        <w:t xml:space="preserve">的报价完成招标文件要求的全部内容，不再计取任何其他费用。 </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2、我方已详细审核并确认全部招标文件及有关附件，充分理解投标报价不得低于企业个别成本有关规定我方经成本核算，所填报的投标报价不低于企业个别成本。</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3、一旦我方中标，我方保证按</w:t>
      </w:r>
      <w:r>
        <w:rPr>
          <w:rFonts w:hint="eastAsia" w:ascii="宋体" w:hAnsi="宋体"/>
          <w:color w:val="000000"/>
          <w:sz w:val="24"/>
          <w:u w:val="single"/>
        </w:rPr>
        <w:t xml:space="preserve">          </w:t>
      </w:r>
      <w:r>
        <w:rPr>
          <w:rFonts w:hint="eastAsia" w:ascii="宋体" w:hAnsi="宋体"/>
          <w:color w:val="000000"/>
          <w:sz w:val="24"/>
        </w:rPr>
        <w:t>日历天供货周期完成合同约定的全部产品的供应，并通过招标人的验收。</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4、一旦我方中标，我方保证产品质量达到</w:t>
      </w:r>
      <w:r>
        <w:rPr>
          <w:rFonts w:hint="eastAsia" w:ascii="宋体" w:hAnsi="宋体"/>
          <w:color w:val="000000"/>
          <w:sz w:val="24"/>
          <w:u w:val="single"/>
        </w:rPr>
        <w:t xml:space="preserve">  国家及行业相关质量要求的 </w:t>
      </w:r>
      <w:r>
        <w:rPr>
          <w:rFonts w:hint="eastAsia" w:ascii="宋体" w:hAnsi="宋体"/>
          <w:color w:val="000000"/>
          <w:sz w:val="24"/>
        </w:rPr>
        <w:t>质量等级。</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5、一旦我方中标，我方保证在规定时间内按照招标文件中的《合同条款》由我方法定代表人亲自签订合同，认真履行合同和其他各项承诺。</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6、我方同意所提交的投标文件在招标文件的投标须知中规定的投标有效期内有效，在此期间内如果中标，我方将受此约束。</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7、除非另外达成协议并生效，你方的中标通知书和并投标文件以及招标文件、招标答疑、补充文件将成为约束双方的合同文件的组成部分。</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8、我方承认投标函附录是我方投标函的组成部分，投标函附录附后。</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法定代表人或其委托代理人：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电话：</w:t>
      </w:r>
      <w:r>
        <w:rPr>
          <w:rFonts w:hint="eastAsia" w:ascii="宋体" w:hAnsi="宋体"/>
          <w:color w:val="000000"/>
          <w:sz w:val="24"/>
          <w:u w:val="single"/>
        </w:rPr>
        <w:t xml:space="preserve">            </w:t>
      </w:r>
      <w:r>
        <w:rPr>
          <w:rFonts w:hint="eastAsia" w:ascii="宋体" w:hAnsi="宋体"/>
          <w:color w:val="000000"/>
          <w:sz w:val="24"/>
        </w:rPr>
        <w:t>传真：</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开户银行名称：</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开户银行账号：</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rPr>
      </w:pPr>
      <w:r>
        <w:rPr>
          <w:rFonts w:hint="eastAsia" w:ascii="宋体" w:hAnsi="宋体"/>
          <w:color w:val="000000"/>
          <w:sz w:val="24"/>
        </w:rPr>
        <w:t>开户银行地址：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开户银行电话：</w:t>
      </w:r>
      <w:r>
        <w:rPr>
          <w:rFonts w:hint="eastAsia" w:ascii="宋体" w:hAnsi="宋体"/>
          <w:color w:val="000000"/>
          <w:sz w:val="24"/>
          <w:u w:val="single"/>
        </w:rPr>
        <w:t xml:space="preserve">                                                </w:t>
      </w:r>
    </w:p>
    <w:p>
      <w:pPr>
        <w:spacing w:line="480" w:lineRule="atLeast"/>
        <w:ind w:left="-1" w:leftChars="-1" w:right="275" w:rightChars="131" w:hanging="1"/>
        <w:jc w:val="center"/>
        <w:rPr>
          <w:rFonts w:hint="eastAsia"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投标人签字盖章：</w:t>
      </w:r>
    </w:p>
    <w:p>
      <w:pPr>
        <w:spacing w:line="480" w:lineRule="atLeast"/>
        <w:ind w:left="-1" w:leftChars="-1" w:right="275" w:rightChars="131" w:hanging="1"/>
        <w:jc w:val="center"/>
        <w:rPr>
          <w:rFonts w:hint="default" w:ascii="宋体" w:hAnsi="宋体" w:eastAsia="宋体" w:cs="宋体"/>
          <w:b/>
          <w:bCs/>
          <w:color w:val="000000"/>
          <w:sz w:val="28"/>
          <w:szCs w:val="28"/>
          <w:lang w:val="en-US" w:eastAsia="zh-CN"/>
        </w:rPr>
        <w:sectPr>
          <w:headerReference r:id="rId3" w:type="default"/>
          <w:footerReference r:id="rId4" w:type="default"/>
          <w:pgSz w:w="11906" w:h="16838"/>
          <w:pgMar w:top="1440" w:right="1077" w:bottom="1440" w:left="1077" w:header="851" w:footer="992" w:gutter="0"/>
          <w:cols w:space="720" w:num="1"/>
          <w:docGrid w:type="lines" w:linePitch="312" w:charSpace="0"/>
        </w:sectPr>
      </w:pPr>
      <w:r>
        <w:rPr>
          <w:rFonts w:hint="eastAsia" w:ascii="宋体" w:hAnsi="宋体"/>
          <w:b/>
          <w:color w:val="000000"/>
          <w:sz w:val="24"/>
          <w:lang w:val="en-US" w:eastAsia="zh-CN"/>
        </w:rPr>
        <w:t xml:space="preserve">                          </w:t>
      </w: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p>
    <w:p>
      <w:pPr>
        <w:adjustRightInd w:val="0"/>
        <w:snapToGrid w:val="0"/>
        <w:spacing w:before="62" w:beforeLines="20" w:after="62" w:afterLines="20" w:line="540" w:lineRule="exact"/>
        <w:rPr>
          <w:rFonts w:hint="eastAsia" w:ascii="宋体" w:hAnsi="宋体"/>
          <w:b/>
          <w:bCs/>
          <w:color w:val="000000"/>
          <w:sz w:val="30"/>
          <w:lang w:eastAsia="zh-CN"/>
        </w:rPr>
      </w:pPr>
    </w:p>
    <w:p>
      <w:pPr>
        <w:numPr>
          <w:ilvl w:val="0"/>
          <w:numId w:val="6"/>
        </w:numPr>
        <w:spacing w:line="360" w:lineRule="auto"/>
        <w:ind w:left="-1" w:leftChars="-1" w:right="275" w:rightChars="131" w:hanging="1"/>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投标报价</w:t>
      </w:r>
    </w:p>
    <w:p>
      <w:pPr>
        <w:adjustRightInd w:val="0"/>
        <w:snapToGrid w:val="0"/>
        <w:spacing w:before="62" w:beforeLines="20" w:after="62" w:afterLines="20" w:line="540" w:lineRule="exact"/>
        <w:ind w:left="-2" w:leftChars="-1" w:firstLine="361"/>
        <w:rPr>
          <w:rFonts w:hint="eastAsia" w:ascii="宋体" w:hAnsi="宋体" w:eastAsia="宋体" w:cs="宋体"/>
          <w:bCs/>
          <w:color w:val="auto"/>
          <w:sz w:val="24"/>
          <w:szCs w:val="24"/>
          <w:highlight w:val="none"/>
        </w:rPr>
      </w:pPr>
      <w:r>
        <w:rPr>
          <w:rFonts w:hint="eastAsia" w:ascii="宋体" w:hAnsi="宋体"/>
          <w:bCs/>
          <w:color w:val="auto"/>
          <w:sz w:val="24"/>
          <w:szCs w:val="24"/>
          <w:highlight w:val="none"/>
        </w:rPr>
        <w:t>投标单位:</w:t>
      </w:r>
      <w:r>
        <w:rPr>
          <w:rFonts w:hint="eastAsia" w:ascii="宋体" w:hAnsi="宋体" w:eastAsia="宋体" w:cs="宋体"/>
          <w:bCs/>
          <w:color w:val="auto"/>
          <w:sz w:val="24"/>
          <w:szCs w:val="24"/>
          <w:highlight w:val="none"/>
        </w:rPr>
        <w:t>_________________</w:t>
      </w:r>
      <w:r>
        <w:rPr>
          <w:rFonts w:hint="eastAsia" w:ascii="宋体" w:hAnsi="宋体"/>
          <w:bCs/>
          <w:color w:val="auto"/>
          <w:sz w:val="24"/>
          <w:szCs w:val="24"/>
          <w:highlight w:val="none"/>
        </w:rPr>
        <w:t xml:space="preserve">        项目名称：</w:t>
      </w:r>
      <w:r>
        <w:rPr>
          <w:rFonts w:hint="eastAsia" w:ascii="宋体" w:hAnsi="宋体" w:eastAsia="宋体" w:cs="宋体"/>
          <w:bCs/>
          <w:color w:val="auto"/>
          <w:sz w:val="24"/>
          <w:szCs w:val="24"/>
          <w:highlight w:val="none"/>
        </w:rPr>
        <w:t>_________________</w:t>
      </w:r>
    </w:p>
    <w:p>
      <w:pPr>
        <w:pStyle w:val="6"/>
        <w:rPr>
          <w:rFonts w:hint="eastAsia"/>
          <w:color w:val="auto"/>
          <w:sz w:val="24"/>
          <w:szCs w:val="24"/>
        </w:rPr>
      </w:pPr>
    </w:p>
    <w:tbl>
      <w:tblPr>
        <w:tblStyle w:val="12"/>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143"/>
        <w:gridCol w:w="989"/>
        <w:gridCol w:w="2337"/>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6" w:hRule="atLeast"/>
          <w:jc w:val="center"/>
        </w:trPr>
        <w:tc>
          <w:tcPr>
            <w:tcW w:w="667" w:type="pct"/>
            <w:shd w:val="clear" w:color="auto" w:fill="FFFFFF"/>
            <w:noWrap w:val="0"/>
            <w:vAlign w:val="center"/>
          </w:tcPr>
          <w:p>
            <w:pPr>
              <w:widowControl/>
              <w:jc w:val="center"/>
              <w:textAlignment w:val="center"/>
              <w:rPr>
                <w:rFonts w:hint="eastAsia" w:eastAsia="宋体"/>
                <w:b/>
                <w:bCs/>
                <w:color w:val="auto"/>
                <w:sz w:val="24"/>
                <w:szCs w:val="24"/>
                <w:highlight w:val="none"/>
                <w:lang w:eastAsia="zh-CN"/>
              </w:rPr>
            </w:pPr>
            <w:r>
              <w:rPr>
                <w:rFonts w:hint="eastAsia"/>
                <w:b/>
                <w:bCs/>
                <w:color w:val="auto"/>
                <w:sz w:val="24"/>
                <w:szCs w:val="24"/>
                <w:highlight w:val="none"/>
                <w:lang w:eastAsia="zh-CN"/>
              </w:rPr>
              <w:t>序号</w:t>
            </w:r>
          </w:p>
        </w:tc>
        <w:tc>
          <w:tcPr>
            <w:tcW w:w="1259" w:type="pct"/>
            <w:shd w:val="clear" w:color="auto" w:fill="FFFFFF"/>
            <w:noWrap w:val="0"/>
            <w:vAlign w:val="center"/>
          </w:tcPr>
          <w:p>
            <w:pPr>
              <w:widowControl/>
              <w:jc w:val="center"/>
              <w:textAlignment w:val="center"/>
              <w:rPr>
                <w:rFonts w:hint="eastAsia"/>
                <w:b/>
                <w:bCs/>
                <w:color w:val="auto"/>
                <w:sz w:val="24"/>
                <w:szCs w:val="24"/>
                <w:highlight w:val="none"/>
                <w:lang w:eastAsia="zh-CN"/>
              </w:rPr>
            </w:pPr>
            <w:r>
              <w:rPr>
                <w:rFonts w:hint="eastAsia"/>
                <w:b/>
                <w:bCs/>
                <w:color w:val="auto"/>
                <w:sz w:val="24"/>
                <w:szCs w:val="24"/>
                <w:highlight w:val="none"/>
                <w:lang w:eastAsia="zh-CN"/>
              </w:rPr>
              <w:t>名称</w:t>
            </w:r>
          </w:p>
        </w:tc>
        <w:tc>
          <w:tcPr>
            <w:tcW w:w="580" w:type="pct"/>
            <w:shd w:val="clear" w:color="auto" w:fill="FFFFFF"/>
            <w:noWrap w:val="0"/>
            <w:vAlign w:val="center"/>
          </w:tcPr>
          <w:p>
            <w:pPr>
              <w:widowControl/>
              <w:jc w:val="center"/>
              <w:textAlignment w:val="center"/>
              <w:rPr>
                <w:rFonts w:hint="eastAsia" w:ascii="宋体" w:hAnsi="宋体" w:cs="宋体"/>
                <w:color w:val="auto"/>
                <w:spacing w:val="24"/>
                <w:sz w:val="24"/>
                <w:szCs w:val="24"/>
                <w:highlight w:val="none"/>
                <w:lang w:eastAsia="zh-CN"/>
              </w:rPr>
            </w:pPr>
            <w:r>
              <w:rPr>
                <w:rFonts w:hint="eastAsia" w:ascii="宋体" w:hAnsi="宋体" w:cs="宋体"/>
                <w:b/>
                <w:bCs/>
                <w:color w:val="auto"/>
                <w:spacing w:val="24"/>
                <w:sz w:val="24"/>
                <w:szCs w:val="24"/>
                <w:highlight w:val="none"/>
                <w:lang w:eastAsia="zh-CN"/>
              </w:rPr>
              <w:t>数量</w:t>
            </w:r>
          </w:p>
        </w:tc>
        <w:tc>
          <w:tcPr>
            <w:tcW w:w="1373" w:type="pct"/>
            <w:shd w:val="clear" w:color="auto" w:fill="FFFFFF"/>
            <w:noWrap w:val="0"/>
            <w:vAlign w:val="center"/>
          </w:tcPr>
          <w:p>
            <w:pPr>
              <w:jc w:val="center"/>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报</w:t>
            </w:r>
            <w:r>
              <w:rPr>
                <w:rFonts w:hint="eastAsia" w:ascii="宋体" w:hAnsi="宋体"/>
                <w:b/>
                <w:bCs/>
                <w:color w:val="auto"/>
                <w:sz w:val="24"/>
                <w:szCs w:val="24"/>
                <w:highlight w:val="none"/>
              </w:rPr>
              <w:t>价（元）</w:t>
            </w:r>
          </w:p>
        </w:tc>
        <w:tc>
          <w:tcPr>
            <w:tcW w:w="1118" w:type="pct"/>
            <w:shd w:val="clear" w:color="auto" w:fill="FFFFFF"/>
            <w:noWrap w:val="0"/>
            <w:vAlign w:val="center"/>
          </w:tcPr>
          <w:p>
            <w:pPr>
              <w:jc w:val="center"/>
              <w:rPr>
                <w:rFonts w:hint="eastAsia" w:ascii="宋体" w:hAnsi="宋体" w:eastAsia="宋体"/>
                <w:b/>
                <w:bCs/>
                <w:color w:val="auto"/>
                <w:kern w:val="2"/>
                <w:sz w:val="24"/>
                <w:szCs w:val="24"/>
                <w:highlight w:val="none"/>
                <w:lang w:val="en-US" w:eastAsia="zh-CN" w:bidi="ar-SA"/>
              </w:rPr>
            </w:pPr>
            <w:r>
              <w:rPr>
                <w:rFonts w:hint="eastAsia" w:ascii="宋体" w:hAnsi="宋体"/>
                <w:b/>
                <w:bCs/>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67" w:type="pct"/>
            <w:shd w:val="clear" w:color="auto" w:fill="FFFFFF"/>
            <w:noWrap w:val="0"/>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1259"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000000"/>
                <w:kern w:val="0"/>
                <w:sz w:val="24"/>
                <w:szCs w:val="24"/>
                <w:vertAlign w:val="baseline"/>
                <w:lang w:val="en-US" w:eastAsia="zh-CN" w:bidi="ar"/>
              </w:rPr>
              <w:t>上网行为管理</w:t>
            </w:r>
          </w:p>
        </w:tc>
        <w:tc>
          <w:tcPr>
            <w:tcW w:w="580"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1项</w:t>
            </w:r>
          </w:p>
        </w:tc>
        <w:tc>
          <w:tcPr>
            <w:tcW w:w="1373" w:type="pct"/>
            <w:shd w:val="clear" w:color="auto" w:fill="FFFFFF"/>
            <w:noWrap w:val="0"/>
            <w:vAlign w:val="center"/>
          </w:tcPr>
          <w:p>
            <w:pPr>
              <w:widowControl/>
              <w:jc w:val="center"/>
              <w:textAlignment w:val="center"/>
              <w:rPr>
                <w:rFonts w:hint="eastAsia" w:ascii="宋体" w:hAnsi="宋体"/>
                <w:color w:val="auto"/>
                <w:sz w:val="24"/>
                <w:szCs w:val="24"/>
                <w:highlight w:val="none"/>
              </w:rPr>
            </w:pPr>
          </w:p>
        </w:tc>
        <w:tc>
          <w:tcPr>
            <w:tcW w:w="111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67" w:type="pct"/>
            <w:shd w:val="clear" w:color="auto" w:fill="FFFFFF"/>
            <w:noWrap w:val="0"/>
            <w:vAlign w:val="center"/>
          </w:tcPr>
          <w:p>
            <w:pPr>
              <w:widowControl/>
              <w:jc w:val="center"/>
              <w:textAlignment w:val="center"/>
              <w:rPr>
                <w:rFonts w:hint="eastAsia"/>
                <w:lang w:val="en-US" w:eastAsia="zh-CN"/>
              </w:rPr>
            </w:pPr>
          </w:p>
          <w:p>
            <w:pPr>
              <w:pStyle w:val="2"/>
              <w:ind w:left="0" w:leftChars="0" w:firstLine="0" w:firstLineChars="0"/>
              <w:jc w:val="center"/>
              <w:rPr>
                <w:rFonts w:hint="default"/>
                <w:lang w:val="en-US" w:eastAsia="zh-CN"/>
              </w:rPr>
            </w:pPr>
            <w:r>
              <w:rPr>
                <w:rFonts w:hint="eastAsia"/>
                <w:lang w:val="en-US" w:eastAsia="zh-CN"/>
              </w:rPr>
              <w:t>2</w:t>
            </w:r>
          </w:p>
        </w:tc>
        <w:tc>
          <w:tcPr>
            <w:tcW w:w="1259"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000000"/>
                <w:kern w:val="0"/>
                <w:sz w:val="24"/>
                <w:szCs w:val="24"/>
                <w:vertAlign w:val="baseline"/>
                <w:lang w:val="en-US" w:eastAsia="zh-CN" w:bidi="ar"/>
              </w:rPr>
              <w:t>数据库审计</w:t>
            </w:r>
          </w:p>
        </w:tc>
        <w:tc>
          <w:tcPr>
            <w:tcW w:w="580"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1项</w:t>
            </w:r>
          </w:p>
        </w:tc>
        <w:tc>
          <w:tcPr>
            <w:tcW w:w="1373" w:type="pct"/>
            <w:shd w:val="clear" w:color="auto" w:fill="FFFFFF"/>
            <w:noWrap w:val="0"/>
            <w:vAlign w:val="center"/>
          </w:tcPr>
          <w:p>
            <w:pPr>
              <w:widowControl/>
              <w:jc w:val="center"/>
              <w:textAlignment w:val="center"/>
              <w:rPr>
                <w:rFonts w:hint="eastAsia" w:ascii="宋体" w:hAnsi="宋体"/>
                <w:color w:val="auto"/>
                <w:sz w:val="24"/>
                <w:szCs w:val="24"/>
                <w:highlight w:val="none"/>
              </w:rPr>
            </w:pPr>
          </w:p>
        </w:tc>
        <w:tc>
          <w:tcPr>
            <w:tcW w:w="111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67" w:type="pct"/>
            <w:shd w:val="clear" w:color="auto" w:fill="FFFFFF"/>
            <w:noWrap w:val="0"/>
            <w:vAlign w:val="center"/>
          </w:tcPr>
          <w:p>
            <w:pPr>
              <w:pStyle w:val="2"/>
              <w:ind w:left="0" w:leftChars="0" w:firstLine="0" w:firstLineChars="0"/>
              <w:jc w:val="center"/>
              <w:rPr>
                <w:rFonts w:hint="default"/>
                <w:lang w:val="en-US" w:eastAsia="zh-CN"/>
              </w:rPr>
            </w:pPr>
            <w:r>
              <w:rPr>
                <w:rFonts w:hint="eastAsia"/>
                <w:lang w:val="en-US" w:eastAsia="zh-CN"/>
              </w:rPr>
              <w:t>3</w:t>
            </w:r>
          </w:p>
        </w:tc>
        <w:tc>
          <w:tcPr>
            <w:tcW w:w="1259"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防火墙</w:t>
            </w:r>
          </w:p>
        </w:tc>
        <w:tc>
          <w:tcPr>
            <w:tcW w:w="580"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1项</w:t>
            </w:r>
          </w:p>
        </w:tc>
        <w:tc>
          <w:tcPr>
            <w:tcW w:w="1373" w:type="pct"/>
            <w:shd w:val="clear" w:color="auto" w:fill="FFFFFF"/>
            <w:noWrap w:val="0"/>
            <w:vAlign w:val="center"/>
          </w:tcPr>
          <w:p>
            <w:pPr>
              <w:widowControl/>
              <w:jc w:val="center"/>
              <w:textAlignment w:val="center"/>
              <w:rPr>
                <w:rFonts w:hint="eastAsia" w:ascii="宋体" w:hAnsi="宋体"/>
                <w:color w:val="auto"/>
                <w:sz w:val="24"/>
                <w:szCs w:val="24"/>
                <w:highlight w:val="none"/>
              </w:rPr>
            </w:pPr>
          </w:p>
        </w:tc>
        <w:tc>
          <w:tcPr>
            <w:tcW w:w="111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67"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1259"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WEB应用防护墙设备</w:t>
            </w:r>
          </w:p>
        </w:tc>
        <w:tc>
          <w:tcPr>
            <w:tcW w:w="580"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1项</w:t>
            </w:r>
          </w:p>
        </w:tc>
        <w:tc>
          <w:tcPr>
            <w:tcW w:w="1373" w:type="pct"/>
            <w:shd w:val="clear" w:color="auto" w:fill="FFFFFF"/>
            <w:noWrap w:val="0"/>
            <w:vAlign w:val="center"/>
          </w:tcPr>
          <w:p>
            <w:pPr>
              <w:widowControl/>
              <w:jc w:val="center"/>
              <w:textAlignment w:val="center"/>
              <w:rPr>
                <w:rFonts w:hint="eastAsia" w:ascii="宋体" w:hAnsi="宋体"/>
                <w:color w:val="auto"/>
                <w:sz w:val="24"/>
                <w:szCs w:val="24"/>
                <w:highlight w:val="none"/>
              </w:rPr>
            </w:pPr>
          </w:p>
        </w:tc>
        <w:tc>
          <w:tcPr>
            <w:tcW w:w="111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67"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1259"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日志审计</w:t>
            </w:r>
          </w:p>
        </w:tc>
        <w:tc>
          <w:tcPr>
            <w:tcW w:w="580"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1项</w:t>
            </w:r>
          </w:p>
        </w:tc>
        <w:tc>
          <w:tcPr>
            <w:tcW w:w="1373" w:type="pct"/>
            <w:shd w:val="clear" w:color="auto" w:fill="FFFFFF"/>
            <w:noWrap w:val="0"/>
            <w:vAlign w:val="center"/>
          </w:tcPr>
          <w:p>
            <w:pPr>
              <w:widowControl/>
              <w:jc w:val="center"/>
              <w:textAlignment w:val="center"/>
              <w:rPr>
                <w:rFonts w:hint="eastAsia" w:ascii="宋体" w:hAnsi="宋体"/>
                <w:color w:val="auto"/>
                <w:sz w:val="24"/>
                <w:szCs w:val="24"/>
                <w:highlight w:val="none"/>
              </w:rPr>
            </w:pPr>
          </w:p>
        </w:tc>
        <w:tc>
          <w:tcPr>
            <w:tcW w:w="111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67"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p>
        </w:tc>
        <w:tc>
          <w:tcPr>
            <w:tcW w:w="1259"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防病毒软件系统</w:t>
            </w:r>
          </w:p>
        </w:tc>
        <w:tc>
          <w:tcPr>
            <w:tcW w:w="580"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1项</w:t>
            </w:r>
          </w:p>
        </w:tc>
        <w:tc>
          <w:tcPr>
            <w:tcW w:w="1373" w:type="pct"/>
            <w:shd w:val="clear" w:color="auto" w:fill="FFFFFF"/>
            <w:noWrap w:val="0"/>
            <w:vAlign w:val="center"/>
          </w:tcPr>
          <w:p>
            <w:pPr>
              <w:widowControl/>
              <w:jc w:val="center"/>
              <w:textAlignment w:val="center"/>
              <w:rPr>
                <w:rFonts w:hint="eastAsia" w:ascii="宋体" w:hAnsi="宋体"/>
                <w:color w:val="auto"/>
                <w:sz w:val="24"/>
                <w:szCs w:val="24"/>
                <w:highlight w:val="none"/>
              </w:rPr>
            </w:pPr>
          </w:p>
        </w:tc>
        <w:tc>
          <w:tcPr>
            <w:tcW w:w="111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67"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w:t>
            </w:r>
          </w:p>
        </w:tc>
        <w:tc>
          <w:tcPr>
            <w:tcW w:w="1259"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WEB VPN设备</w:t>
            </w:r>
          </w:p>
        </w:tc>
        <w:tc>
          <w:tcPr>
            <w:tcW w:w="580"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1项</w:t>
            </w:r>
          </w:p>
        </w:tc>
        <w:tc>
          <w:tcPr>
            <w:tcW w:w="1373" w:type="pct"/>
            <w:shd w:val="clear" w:color="auto" w:fill="FFFFFF"/>
            <w:noWrap w:val="0"/>
            <w:vAlign w:val="center"/>
          </w:tcPr>
          <w:p>
            <w:pPr>
              <w:widowControl/>
              <w:jc w:val="center"/>
              <w:textAlignment w:val="center"/>
              <w:rPr>
                <w:rFonts w:hint="eastAsia" w:ascii="宋体" w:hAnsi="宋体"/>
                <w:color w:val="auto"/>
                <w:sz w:val="24"/>
                <w:szCs w:val="24"/>
                <w:highlight w:val="none"/>
              </w:rPr>
            </w:pPr>
          </w:p>
        </w:tc>
        <w:tc>
          <w:tcPr>
            <w:tcW w:w="111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67"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p>
        </w:tc>
        <w:tc>
          <w:tcPr>
            <w:tcW w:w="1840" w:type="pct"/>
            <w:gridSpan w:val="2"/>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合计总价：</w:t>
            </w:r>
          </w:p>
        </w:tc>
        <w:tc>
          <w:tcPr>
            <w:tcW w:w="1373" w:type="pct"/>
            <w:shd w:val="clear" w:color="auto" w:fill="FFFFFF"/>
            <w:noWrap w:val="0"/>
            <w:vAlign w:val="center"/>
          </w:tcPr>
          <w:p>
            <w:pPr>
              <w:widowControl/>
              <w:jc w:val="center"/>
              <w:textAlignment w:val="center"/>
              <w:rPr>
                <w:rFonts w:hint="eastAsia" w:ascii="宋体" w:hAnsi="宋体"/>
                <w:color w:val="auto"/>
                <w:sz w:val="24"/>
                <w:szCs w:val="24"/>
                <w:highlight w:val="none"/>
              </w:rPr>
            </w:pPr>
          </w:p>
        </w:tc>
        <w:tc>
          <w:tcPr>
            <w:tcW w:w="111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bl>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adjustRightInd w:val="0"/>
        <w:snapToGrid w:val="0"/>
        <w:spacing w:before="62" w:beforeLines="20" w:after="62" w:afterLines="20" w:line="540" w:lineRule="exact"/>
        <w:ind w:left="-2" w:leftChars="-1" w:firstLine="3313" w:firstLineChars="1100"/>
        <w:rPr>
          <w:rFonts w:hint="eastAsia" w:ascii="宋体" w:hAnsi="宋体"/>
          <w:color w:val="000000"/>
          <w:sz w:val="30"/>
        </w:rPr>
      </w:pPr>
      <w:r>
        <w:rPr>
          <w:rFonts w:hint="eastAsia" w:ascii="宋体" w:hAnsi="宋体"/>
          <w:b/>
          <w:bCs/>
          <w:color w:val="000000"/>
          <w:sz w:val="30"/>
          <w:lang w:eastAsia="zh-CN"/>
        </w:rPr>
        <w:t>（</w:t>
      </w:r>
      <w:r>
        <w:rPr>
          <w:rFonts w:hint="eastAsia" w:ascii="宋体" w:hAnsi="宋体"/>
          <w:b/>
          <w:bCs/>
          <w:color w:val="000000"/>
          <w:sz w:val="30"/>
          <w:lang w:val="en-US" w:eastAsia="zh-CN"/>
        </w:rPr>
        <w:t>六</w:t>
      </w:r>
      <w:r>
        <w:rPr>
          <w:rFonts w:hint="eastAsia" w:ascii="宋体" w:hAnsi="宋体"/>
          <w:b/>
          <w:bCs/>
          <w:color w:val="000000"/>
          <w:sz w:val="30"/>
          <w:lang w:eastAsia="zh-CN"/>
        </w:rPr>
        <w:t>）</w:t>
      </w:r>
      <w:r>
        <w:rPr>
          <w:rFonts w:hint="eastAsia" w:ascii="宋体" w:hAnsi="宋体"/>
          <w:b/>
          <w:bCs/>
          <w:color w:val="000000"/>
          <w:sz w:val="30"/>
        </w:rPr>
        <w:t>投标报价说明</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（1）本报价依据本项目投标须知和合同文件的有关条款进行编制。</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产品报价包含产品价格、运输、保险、税费、装卸、施工、相关部门的检测、验收费用、成品保护、管理费、售后服务等全部费用，除非另有约定，招标人为履行本项目产品采购无需支付其他任何款项、费用。</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（3）本分项报价表中的每一包项均应填写报价，对没有填写单价的项目费用，视为已包括在其他单价或合价之中。</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（4）本报价的币种为：人民币 。</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（5）投标人应将投标报价需要说明的事项，用文字书写与投标报价表一并报送。</w:t>
      </w: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5600" w:firstLineChars="20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投标人（公章）：</w:t>
      </w:r>
    </w:p>
    <w:p>
      <w:pPr>
        <w:numPr>
          <w:ilvl w:val="0"/>
          <w:numId w:val="0"/>
        </w:numPr>
        <w:spacing w:after="156" w:afterLines="50" w:line="420" w:lineRule="exact"/>
        <w:ind w:left="5599" w:leftChars="133" w:hanging="5320" w:hangingChars="1900"/>
        <w:rPr>
          <w:rFonts w:hint="eastAsia" w:ascii="宋体" w:hAnsi="宋体"/>
          <w:color w:val="000000"/>
          <w:sz w:val="30"/>
        </w:rPr>
      </w:pPr>
      <w:r>
        <w:rPr>
          <w:rFonts w:hint="eastAsia" w:ascii="宋体" w:hAnsi="宋体" w:eastAsia="宋体" w:cs="宋体"/>
          <w:b w:val="0"/>
          <w:bCs w:val="0"/>
          <w:color w:val="000000"/>
          <w:sz w:val="28"/>
          <w:szCs w:val="28"/>
          <w:lang w:val="en-US" w:eastAsia="zh-CN"/>
        </w:rPr>
        <w:t xml:space="preserve">                                                                                                           法定代表人或授权人签字：</w:t>
      </w: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pStyle w:val="9"/>
        <w:ind w:left="-2" w:leftChars="-1" w:firstLine="2409" w:firstLineChars="800"/>
        <w:rPr>
          <w:rFonts w:hint="eastAsia" w:hAnsi="宋体"/>
          <w:b/>
          <w:smallCaps/>
          <w:color w:val="000000"/>
          <w:sz w:val="30"/>
          <w:szCs w:val="30"/>
        </w:rPr>
      </w:pPr>
      <w:bookmarkStart w:id="0" w:name="_Toc171581557"/>
      <w:bookmarkStart w:id="1" w:name="_Toc171581377"/>
      <w:bookmarkStart w:id="2" w:name="_Toc171742000"/>
    </w:p>
    <w:p>
      <w:pPr>
        <w:pStyle w:val="9"/>
        <w:ind w:left="-2" w:leftChars="-1" w:firstLine="2409" w:firstLineChars="800"/>
        <w:rPr>
          <w:rFonts w:hint="eastAsia" w:hAnsi="宋体"/>
          <w:b/>
          <w:smallCaps/>
          <w:color w:val="000000"/>
          <w:sz w:val="30"/>
          <w:szCs w:val="30"/>
        </w:rPr>
      </w:pPr>
    </w:p>
    <w:p>
      <w:pPr>
        <w:pStyle w:val="9"/>
        <w:ind w:left="-2" w:leftChars="-1" w:firstLine="2409" w:firstLineChars="800"/>
        <w:rPr>
          <w:rFonts w:hint="eastAsia" w:hAnsi="宋体"/>
          <w:b/>
          <w:smallCaps/>
          <w:color w:val="000000"/>
          <w:sz w:val="30"/>
          <w:szCs w:val="30"/>
        </w:rPr>
      </w:pPr>
    </w:p>
    <w:p>
      <w:pPr>
        <w:pStyle w:val="9"/>
        <w:ind w:left="-2" w:leftChars="-1" w:firstLine="2409" w:firstLineChars="800"/>
        <w:rPr>
          <w:rFonts w:hint="eastAsia" w:hAnsi="宋体"/>
          <w:b/>
          <w:smallCaps/>
          <w:color w:val="000000"/>
          <w:sz w:val="30"/>
          <w:szCs w:val="30"/>
        </w:rPr>
      </w:pPr>
    </w:p>
    <w:p>
      <w:pPr>
        <w:pStyle w:val="9"/>
        <w:ind w:left="-2" w:leftChars="-1" w:firstLine="2409" w:firstLineChars="800"/>
        <w:rPr>
          <w:rFonts w:hint="eastAsia" w:hAnsi="宋体"/>
          <w:b/>
          <w:smallCaps/>
          <w:color w:val="000000"/>
          <w:sz w:val="30"/>
          <w:szCs w:val="30"/>
        </w:rPr>
      </w:pPr>
    </w:p>
    <w:p>
      <w:pPr>
        <w:pStyle w:val="9"/>
        <w:jc w:val="center"/>
        <w:rPr>
          <w:rFonts w:hint="eastAsia" w:hAnsi="宋体"/>
          <w:b/>
          <w:smallCaps/>
          <w:color w:val="000000"/>
          <w:sz w:val="30"/>
          <w:szCs w:val="30"/>
        </w:rPr>
      </w:pPr>
      <w:r>
        <w:rPr>
          <w:rFonts w:hint="eastAsia" w:hAnsi="宋体"/>
          <w:b/>
          <w:smallCaps/>
          <w:color w:val="000000"/>
          <w:sz w:val="30"/>
          <w:szCs w:val="30"/>
        </w:rPr>
        <w:t>（</w:t>
      </w:r>
      <w:r>
        <w:rPr>
          <w:rFonts w:hint="eastAsia" w:hAnsi="宋体"/>
          <w:b/>
          <w:smallCaps/>
          <w:color w:val="000000"/>
          <w:sz w:val="30"/>
          <w:szCs w:val="30"/>
          <w:lang w:val="en-US" w:eastAsia="zh-CN"/>
        </w:rPr>
        <w:t>七</w:t>
      </w:r>
      <w:r>
        <w:rPr>
          <w:rFonts w:hint="eastAsia" w:hAnsi="宋体"/>
          <w:b/>
          <w:smallCaps/>
          <w:color w:val="000000"/>
          <w:sz w:val="30"/>
          <w:szCs w:val="30"/>
        </w:rPr>
        <w:t>）项目建设管理及技术人员配置一览表</w:t>
      </w:r>
    </w:p>
    <w:p>
      <w:pPr>
        <w:pStyle w:val="9"/>
        <w:rPr>
          <w:rFonts w:hint="eastAsia" w:hAnsi="宋体"/>
          <w:b/>
          <w:smallCaps/>
          <w:color w:val="000000"/>
          <w:sz w:val="30"/>
          <w:szCs w:val="3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957"/>
        <w:gridCol w:w="1455"/>
        <w:gridCol w:w="1200"/>
        <w:gridCol w:w="1680"/>
        <w:gridCol w:w="226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pStyle w:val="9"/>
              <w:jc w:val="center"/>
              <w:rPr>
                <w:rFonts w:hint="eastAsia" w:hAnsi="宋体"/>
                <w:b/>
                <w:smallCaps/>
                <w:color w:val="000000"/>
                <w:sz w:val="24"/>
              </w:rPr>
            </w:pPr>
            <w:r>
              <w:rPr>
                <w:rFonts w:hint="eastAsia" w:hAnsi="宋体"/>
                <w:b/>
                <w:smallCaps/>
                <w:color w:val="000000"/>
                <w:sz w:val="24"/>
              </w:rPr>
              <w:t>序号</w:t>
            </w:r>
          </w:p>
        </w:tc>
        <w:tc>
          <w:tcPr>
            <w:tcW w:w="957" w:type="dxa"/>
            <w:noWrap w:val="0"/>
            <w:vAlign w:val="center"/>
          </w:tcPr>
          <w:p>
            <w:pPr>
              <w:pStyle w:val="9"/>
              <w:jc w:val="center"/>
              <w:rPr>
                <w:rFonts w:hint="eastAsia" w:hAnsi="宋体"/>
                <w:b/>
                <w:smallCaps/>
                <w:color w:val="000000"/>
                <w:sz w:val="24"/>
              </w:rPr>
            </w:pPr>
            <w:r>
              <w:rPr>
                <w:rFonts w:hint="eastAsia" w:hAnsi="宋体"/>
                <w:b/>
                <w:smallCaps/>
                <w:color w:val="000000"/>
                <w:sz w:val="24"/>
              </w:rPr>
              <w:t>姓名</w:t>
            </w: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职务</w:t>
            </w:r>
          </w:p>
        </w:tc>
        <w:tc>
          <w:tcPr>
            <w:tcW w:w="1200" w:type="dxa"/>
            <w:noWrap w:val="0"/>
            <w:vAlign w:val="center"/>
          </w:tcPr>
          <w:p>
            <w:pPr>
              <w:pStyle w:val="9"/>
              <w:jc w:val="center"/>
              <w:rPr>
                <w:rFonts w:hint="eastAsia" w:hAnsi="宋体"/>
                <w:b/>
                <w:smallCaps/>
                <w:color w:val="000000"/>
                <w:sz w:val="24"/>
              </w:rPr>
            </w:pPr>
            <w:r>
              <w:rPr>
                <w:rFonts w:hint="eastAsia" w:hAnsi="宋体"/>
                <w:b/>
                <w:smallCaps/>
                <w:color w:val="000000"/>
                <w:sz w:val="24"/>
              </w:rPr>
              <w:t>岗位职责</w:t>
            </w:r>
          </w:p>
        </w:tc>
        <w:tc>
          <w:tcPr>
            <w:tcW w:w="1680" w:type="dxa"/>
            <w:noWrap w:val="0"/>
            <w:vAlign w:val="center"/>
          </w:tcPr>
          <w:p>
            <w:pPr>
              <w:pStyle w:val="9"/>
              <w:jc w:val="center"/>
              <w:rPr>
                <w:rFonts w:hint="eastAsia" w:hAnsi="宋体"/>
                <w:b/>
                <w:smallCaps/>
                <w:color w:val="000000"/>
                <w:sz w:val="24"/>
              </w:rPr>
            </w:pPr>
            <w:r>
              <w:rPr>
                <w:rFonts w:hint="eastAsia" w:hAnsi="宋体"/>
                <w:b/>
                <w:smallCaps/>
                <w:color w:val="000000"/>
                <w:sz w:val="24"/>
              </w:rPr>
              <w:t>联系方式</w:t>
            </w:r>
          </w:p>
        </w:tc>
        <w:tc>
          <w:tcPr>
            <w:tcW w:w="2265" w:type="dxa"/>
            <w:noWrap w:val="0"/>
            <w:vAlign w:val="center"/>
          </w:tcPr>
          <w:p>
            <w:pPr>
              <w:pStyle w:val="9"/>
              <w:jc w:val="center"/>
              <w:rPr>
                <w:rFonts w:hint="eastAsia" w:hAnsi="宋体"/>
                <w:b/>
                <w:smallCaps/>
                <w:color w:val="000000"/>
                <w:sz w:val="24"/>
              </w:rPr>
            </w:pPr>
            <w:r>
              <w:rPr>
                <w:rFonts w:hint="eastAsia" w:hAnsi="宋体"/>
                <w:b/>
                <w:smallCaps/>
                <w:color w:val="000000"/>
                <w:sz w:val="24"/>
              </w:rPr>
              <w:t>身份证</w:t>
            </w:r>
          </w:p>
        </w:tc>
        <w:tc>
          <w:tcPr>
            <w:tcW w:w="1505" w:type="dxa"/>
            <w:noWrap w:val="0"/>
            <w:vAlign w:val="center"/>
          </w:tcPr>
          <w:p>
            <w:pPr>
              <w:pStyle w:val="9"/>
              <w:jc w:val="center"/>
              <w:rPr>
                <w:rFonts w:hint="eastAsia" w:hAnsi="宋体"/>
                <w:b/>
                <w:smallCaps/>
                <w:color w:val="000000"/>
                <w:sz w:val="24"/>
              </w:rPr>
            </w:pPr>
            <w:r>
              <w:rPr>
                <w:rFonts w:hint="eastAsia" w:hAnsi="宋体"/>
                <w:b/>
                <w:smallCap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07" w:type="dxa"/>
            <w:noWrap w:val="0"/>
            <w:vAlign w:val="center"/>
          </w:tcPr>
          <w:p>
            <w:pPr>
              <w:pStyle w:val="9"/>
              <w:jc w:val="center"/>
              <w:rPr>
                <w:rFonts w:hAnsi="宋体"/>
                <w:b/>
                <w:smallCaps/>
                <w:color w:val="000000"/>
                <w:sz w:val="24"/>
              </w:rPr>
            </w:pPr>
            <w:r>
              <w:rPr>
                <w:rFonts w:hint="eastAsia" w:hAnsi="宋体"/>
                <w:b/>
                <w:smallCaps/>
                <w:color w:val="000000"/>
                <w:sz w:val="24"/>
              </w:rPr>
              <w:t>1</w:t>
            </w:r>
          </w:p>
        </w:tc>
        <w:tc>
          <w:tcPr>
            <w:tcW w:w="957" w:type="dxa"/>
            <w:noWrap w:val="0"/>
            <w:vAlign w:val="center"/>
          </w:tcPr>
          <w:p>
            <w:pPr>
              <w:pStyle w:val="9"/>
              <w:jc w:val="center"/>
              <w:rPr>
                <w:rFonts w:hint="eastAsia" w:hAnsi="宋体"/>
                <w:b/>
                <w:smallCaps/>
                <w:color w:val="000000"/>
                <w:sz w:val="24"/>
              </w:rPr>
            </w:pP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项目经理</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07" w:type="dxa"/>
            <w:noWrap w:val="0"/>
            <w:vAlign w:val="center"/>
          </w:tcPr>
          <w:p>
            <w:pPr>
              <w:pStyle w:val="9"/>
              <w:jc w:val="center"/>
              <w:rPr>
                <w:rFonts w:hAnsi="宋体"/>
                <w:b/>
                <w:smallCaps/>
                <w:color w:val="000000"/>
                <w:sz w:val="24"/>
              </w:rPr>
            </w:pPr>
            <w:r>
              <w:rPr>
                <w:rFonts w:hint="eastAsia" w:hAnsi="宋体"/>
                <w:b/>
                <w:smallCaps/>
                <w:color w:val="000000"/>
                <w:sz w:val="24"/>
              </w:rPr>
              <w:t>2</w:t>
            </w:r>
          </w:p>
        </w:tc>
        <w:tc>
          <w:tcPr>
            <w:tcW w:w="957" w:type="dxa"/>
            <w:noWrap w:val="0"/>
            <w:vAlign w:val="center"/>
          </w:tcPr>
          <w:p>
            <w:pPr>
              <w:pStyle w:val="9"/>
              <w:jc w:val="center"/>
              <w:rPr>
                <w:rFonts w:hint="eastAsia" w:hAnsi="宋体"/>
                <w:b/>
                <w:smallCaps/>
                <w:color w:val="000000"/>
                <w:sz w:val="24"/>
              </w:rPr>
            </w:pP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技术负责人</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restart"/>
            <w:noWrap w:val="0"/>
            <w:vAlign w:val="center"/>
          </w:tcPr>
          <w:p>
            <w:pPr>
              <w:pStyle w:val="9"/>
              <w:jc w:val="center"/>
              <w:rPr>
                <w:rFonts w:hint="eastAsia" w:hAnsi="宋体" w:eastAsia="宋体"/>
                <w:b/>
                <w:smallCaps/>
                <w:color w:val="000000"/>
                <w:sz w:val="24"/>
                <w:lang w:val="en-US" w:eastAsia="zh-CN"/>
              </w:rPr>
            </w:pPr>
            <w:r>
              <w:rPr>
                <w:rFonts w:hint="eastAsia" w:hAnsi="宋体"/>
                <w:b/>
                <w:smallCaps/>
                <w:color w:val="000000"/>
                <w:sz w:val="24"/>
                <w:lang w:val="en-US" w:eastAsia="zh-CN"/>
              </w:rPr>
              <w:t>3</w:t>
            </w:r>
          </w:p>
        </w:tc>
        <w:tc>
          <w:tcPr>
            <w:tcW w:w="957" w:type="dxa"/>
            <w:noWrap w:val="0"/>
            <w:vAlign w:val="center"/>
          </w:tcPr>
          <w:p>
            <w:pPr>
              <w:pStyle w:val="9"/>
              <w:jc w:val="center"/>
              <w:rPr>
                <w:rFonts w:hint="eastAsia" w:hAnsi="宋体"/>
                <w:b/>
                <w:smallCaps/>
                <w:color w:val="000000"/>
                <w:sz w:val="24"/>
              </w:rPr>
            </w:pPr>
          </w:p>
        </w:tc>
        <w:tc>
          <w:tcPr>
            <w:tcW w:w="1455" w:type="dxa"/>
            <w:vMerge w:val="restart"/>
            <w:noWrap w:val="0"/>
            <w:vAlign w:val="center"/>
          </w:tcPr>
          <w:p>
            <w:pPr>
              <w:pStyle w:val="9"/>
              <w:jc w:val="center"/>
              <w:rPr>
                <w:rFonts w:hint="eastAsia" w:hAnsi="宋体" w:eastAsia="宋体"/>
                <w:b/>
                <w:smallCaps/>
                <w:color w:val="000000"/>
                <w:sz w:val="24"/>
                <w:lang w:eastAsia="zh-CN"/>
              </w:rPr>
            </w:pPr>
            <w:r>
              <w:rPr>
                <w:rFonts w:hint="eastAsia" w:hAnsi="宋体"/>
                <w:b/>
                <w:smallCaps/>
                <w:color w:val="000000"/>
                <w:sz w:val="24"/>
              </w:rPr>
              <w:t>施工</w:t>
            </w:r>
            <w:r>
              <w:rPr>
                <w:rFonts w:hint="eastAsia" w:hAnsi="宋体"/>
                <w:b/>
                <w:smallCaps/>
                <w:color w:val="000000"/>
                <w:sz w:val="24"/>
                <w:lang w:eastAsia="zh-CN"/>
              </w:rPr>
              <w:t>人员</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bl>
    <w:p>
      <w:pPr>
        <w:pStyle w:val="9"/>
        <w:ind w:left="-2" w:leftChars="-1"/>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color w:val="000000"/>
          <w:sz w:val="30"/>
          <w:szCs w:val="30"/>
        </w:rPr>
      </w:pPr>
      <w:r>
        <w:rPr>
          <w:rFonts w:hint="eastAsia" w:hAnsi="宋体"/>
          <w:b/>
          <w:smallCaps/>
          <w:color w:val="000000"/>
          <w:sz w:val="30"/>
          <w:szCs w:val="30"/>
        </w:rPr>
        <w:t>（</w:t>
      </w:r>
      <w:r>
        <w:rPr>
          <w:rFonts w:hint="eastAsia" w:hAnsi="宋体"/>
          <w:b/>
          <w:smallCaps/>
          <w:color w:val="000000"/>
          <w:sz w:val="30"/>
          <w:szCs w:val="30"/>
          <w:lang w:eastAsia="zh-CN"/>
        </w:rPr>
        <w:t>八</w:t>
      </w:r>
      <w:r>
        <w:rPr>
          <w:rFonts w:hint="eastAsia" w:hAnsi="宋体"/>
          <w:b/>
          <w:smallCaps/>
          <w:color w:val="000000"/>
          <w:sz w:val="30"/>
          <w:szCs w:val="30"/>
        </w:rPr>
        <w:t>）投标</w:t>
      </w:r>
      <w:r>
        <w:rPr>
          <w:rFonts w:hint="eastAsia" w:hAnsi="宋体"/>
          <w:b/>
          <w:color w:val="000000"/>
          <w:sz w:val="30"/>
          <w:szCs w:val="30"/>
        </w:rPr>
        <w:t>报价需要说明的其他资料</w:t>
      </w:r>
      <w:bookmarkEnd w:id="0"/>
      <w:bookmarkEnd w:id="1"/>
      <w:bookmarkEnd w:id="2"/>
    </w:p>
    <w:p>
      <w:pPr>
        <w:pStyle w:val="5"/>
        <w:ind w:left="-1" w:leftChars="-1" w:hanging="1" w:firstLineChars="0"/>
        <w:rPr>
          <w:rFonts w:hint="eastAsia" w:ascii="宋体" w:hAnsi="宋体"/>
          <w:color w:val="000000"/>
          <w:sz w:val="24"/>
        </w:rPr>
      </w:pPr>
    </w:p>
    <w:p>
      <w:pPr>
        <w:pStyle w:val="5"/>
        <w:ind w:left="-1" w:leftChars="-1" w:hanging="1" w:firstLineChars="0"/>
        <w:rPr>
          <w:rFonts w:hint="eastAsia" w:ascii="宋体" w:hAnsi="宋体"/>
          <w:color w:val="000000"/>
          <w:sz w:val="24"/>
        </w:rPr>
      </w:pPr>
      <w:r>
        <w:rPr>
          <w:rFonts w:hint="eastAsia" w:ascii="宋体" w:hAnsi="宋体"/>
          <w:color w:val="000000"/>
          <w:sz w:val="24"/>
        </w:rPr>
        <w:t>投标单位认为需对其投标报价进行其他补充说明及证明材料。</w:t>
      </w:r>
    </w:p>
    <w:p>
      <w:pPr>
        <w:spacing w:line="360" w:lineRule="auto"/>
        <w:rPr>
          <w:rFonts w:hint="eastAsia" w:ascii="宋体" w:hAnsi="宋体"/>
          <w:color w:val="000000"/>
          <w:sz w:val="24"/>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ind w:left="0" w:leftChars="0" w:firstLine="0" w:firstLineChars="0"/>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附件三</w:t>
      </w:r>
    </w:p>
    <w:p>
      <w:pPr>
        <w:spacing w:before="240" w:beforeLines="100" w:line="48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保证承诺</w:t>
      </w:r>
      <w:r>
        <w:rPr>
          <w:rFonts w:hint="eastAsia" w:ascii="仿宋" w:hAnsi="仿宋" w:eastAsia="仿宋" w:cs="仿宋"/>
          <w:b/>
          <w:bCs/>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val="en-US" w:eastAsia="zh-CN"/>
        </w:rPr>
        <w:t>安徽医科大学临床医学院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公司与安徽医科大学临床医学院就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公司全面履行其在主合同中的各项责任与义务，保证人自愿为其向安徽医科大学临床医学院提供不可撤销的连带保证责任担保，并向安徽医科大学临床医学院郑重承诺：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安徽医科大学临床医学院应承担的全部责任、义务、债务等，以及安徽医科大学临床医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安徽医科大学临床医学院是否对被担保债权享有其他担保（包括但不限于保证、抵押、质押等），保证人在本承诺书项下的保证责任均不因此减免。安徽医科大学临床医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pStyle w:val="17"/>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left="360" w:firstLine="0" w:firstLineChars="0"/>
        <w:textAlignment w:val="auto"/>
        <w:rPr>
          <w:rFonts w:ascii="宋体" w:hAnsi="宋体" w:eastAsia="宋体"/>
          <w:sz w:val="24"/>
        </w:rPr>
      </w:pPr>
      <w:r>
        <w:rPr>
          <w:rFonts w:hint="eastAsia" w:ascii="仿宋_GB2312" w:hAnsi="仿宋" w:eastAsia="仿宋_GB2312" w:cs="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_GB2312" w:hAnsi="仿宋" w:eastAsia="仿宋_GB2312" w:cs="仿宋"/>
          <w:sz w:val="28"/>
          <w:szCs w:val="28"/>
        </w:rPr>
      </w:pPr>
      <w:r>
        <w:rPr>
          <w:rFonts w:hint="eastAsia" w:ascii="宋体" w:hAnsi="宋体" w:eastAsia="宋体"/>
          <w:sz w:val="24"/>
        </w:rPr>
        <w:t xml:space="preserve">                                            </w:t>
      </w:r>
      <w:r>
        <w:rPr>
          <w:rFonts w:hint="eastAsia" w:ascii="仿宋_GB2312" w:hAnsi="仿宋" w:eastAsia="仿宋_GB2312" w:cs="仿宋"/>
          <w:sz w:val="28"/>
          <w:szCs w:val="28"/>
        </w:rPr>
        <w:t xml:space="preserve">  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仿宋_GB2312" w:hAnsi="仿宋" w:eastAsia="仿宋_GB2312" w:cs="仿宋"/>
          <w:sz w:val="28"/>
          <w:szCs w:val="28"/>
        </w:rPr>
      </w:pPr>
      <w:r>
        <w:rPr>
          <w:rFonts w:hint="eastAsia" w:ascii="仿宋_GB2312" w:hAnsi="仿宋" w:eastAsia="仿宋_GB2312" w:cs="仿宋"/>
          <w:sz w:val="28"/>
          <w:szCs w:val="28"/>
        </w:rPr>
        <w:t xml:space="preserve">                                        日期：</w:t>
      </w:r>
    </w:p>
    <w:p>
      <w:pPr>
        <w:pStyle w:val="2"/>
      </w:pPr>
    </w:p>
    <w:p>
      <w:pPr>
        <w:spacing w:before="157" w:beforeLines="50" w:after="157" w:afterLines="5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四</w:t>
      </w:r>
      <w:r>
        <w:rPr>
          <w:rFonts w:hint="eastAsia" w:ascii="宋体" w:hAnsi="宋体" w:eastAsia="宋体" w:cs="宋体"/>
          <w:b/>
          <w:bCs/>
          <w:color w:val="000000"/>
          <w:sz w:val="28"/>
          <w:szCs w:val="28"/>
        </w:rPr>
        <w:t xml:space="preserve">                           </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本承诺书一式</w:t>
      </w:r>
      <w:r>
        <w:rPr>
          <w:rFonts w:hint="eastAsia" w:ascii="宋体" w:hAnsi="宋体" w:eastAsia="宋体" w:cs="宋体"/>
          <w:color w:val="000000"/>
          <w:kern w:val="0"/>
          <w:sz w:val="24"/>
          <w:szCs w:val="24"/>
          <w:shd w:val="clear" w:color="auto" w:fill="FFFFFF"/>
          <w:lang w:eastAsia="zh-CN"/>
        </w:rPr>
        <w:t>五</w:t>
      </w:r>
      <w:r>
        <w:rPr>
          <w:rFonts w:hint="eastAsia" w:ascii="宋体" w:hAnsi="宋体" w:eastAsia="宋体" w:cs="宋体"/>
          <w:color w:val="000000"/>
          <w:kern w:val="0"/>
          <w:sz w:val="24"/>
          <w:szCs w:val="24"/>
          <w:shd w:val="clear" w:color="auto" w:fill="FFFFFF"/>
        </w:rPr>
        <w:t>份，甲</w:t>
      </w:r>
      <w:r>
        <w:rPr>
          <w:rFonts w:hint="eastAsia" w:ascii="宋体" w:hAnsi="宋体" w:eastAsia="宋体" w:cs="宋体"/>
          <w:color w:val="000000"/>
          <w:kern w:val="0"/>
          <w:sz w:val="24"/>
          <w:szCs w:val="24"/>
          <w:shd w:val="clear" w:color="auto" w:fill="FFFFFF"/>
          <w:lang w:eastAsia="zh-CN"/>
        </w:rPr>
        <w:t>方持四份，</w:t>
      </w:r>
      <w:r>
        <w:rPr>
          <w:rFonts w:hint="eastAsia" w:ascii="宋体" w:hAnsi="宋体" w:eastAsia="宋体" w:cs="宋体"/>
          <w:color w:val="000000"/>
          <w:kern w:val="0"/>
          <w:sz w:val="24"/>
          <w:szCs w:val="24"/>
          <w:shd w:val="clear" w:color="auto" w:fill="FFFFFF"/>
        </w:rPr>
        <w:t>乙方持</w:t>
      </w:r>
      <w:r>
        <w:rPr>
          <w:rFonts w:hint="eastAsia" w:ascii="宋体" w:hAnsi="宋体" w:eastAsia="宋体" w:cs="宋体"/>
          <w:color w:val="000000"/>
          <w:kern w:val="0"/>
          <w:sz w:val="24"/>
          <w:szCs w:val="24"/>
          <w:shd w:val="clear" w:color="auto" w:fill="FFFFFF"/>
          <w:lang w:eastAsia="zh-CN"/>
        </w:rPr>
        <w:t>一</w:t>
      </w:r>
      <w:r>
        <w:rPr>
          <w:rFonts w:hint="eastAsia" w:ascii="宋体" w:hAnsi="宋体" w:eastAsia="宋体" w:cs="宋体"/>
          <w:color w:val="000000"/>
          <w:kern w:val="0"/>
          <w:sz w:val="24"/>
          <w:szCs w:val="24"/>
          <w:shd w:val="clear" w:color="auto" w:fill="FFFFFF"/>
        </w:rPr>
        <w:t>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kern w:val="0"/>
          <w:sz w:val="28"/>
          <w:szCs w:val="28"/>
          <w:shd w:val="clear" w:color="auto" w:fill="FFFFFF"/>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265" w:y="64"/>
      <w:jc w:val="center"/>
      <w:rPr>
        <w:rStyle w:val="15"/>
      </w:rPr>
    </w:pPr>
    <w:r>
      <w:fldChar w:fldCharType="begin"/>
    </w:r>
    <w:r>
      <w:rPr>
        <w:rStyle w:val="15"/>
      </w:rPr>
      <w:instrText xml:space="preserve">PAGE  </w:instrText>
    </w:r>
    <w:r>
      <w:fldChar w:fldCharType="separate"/>
    </w:r>
    <w:r>
      <w:rPr>
        <w:rStyle w:val="15"/>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9CBEF"/>
    <w:multiLevelType w:val="singleLevel"/>
    <w:tmpl w:val="8D59CBEF"/>
    <w:lvl w:ilvl="0" w:tentative="0">
      <w:start w:val="1"/>
      <w:numFmt w:val="decimal"/>
      <w:lvlText w:val="%1."/>
      <w:lvlJc w:val="left"/>
      <w:pPr>
        <w:tabs>
          <w:tab w:val="left" w:pos="312"/>
        </w:tabs>
      </w:pPr>
    </w:lvl>
  </w:abstractNum>
  <w:abstractNum w:abstractNumId="1">
    <w:nsid w:val="957D8989"/>
    <w:multiLevelType w:val="singleLevel"/>
    <w:tmpl w:val="957D8989"/>
    <w:lvl w:ilvl="0" w:tentative="0">
      <w:start w:val="5"/>
      <w:numFmt w:val="chineseCounting"/>
      <w:suff w:val="nothing"/>
      <w:lvlText w:val="（%1）"/>
      <w:lvlJc w:val="left"/>
      <w:rPr>
        <w:rFonts w:hint="eastAsia"/>
      </w:rPr>
    </w:lvl>
  </w:abstractNum>
  <w:abstractNum w:abstractNumId="2">
    <w:nsid w:val="C7C4006D"/>
    <w:multiLevelType w:val="singleLevel"/>
    <w:tmpl w:val="C7C4006D"/>
    <w:lvl w:ilvl="0" w:tentative="0">
      <w:start w:val="1"/>
      <w:numFmt w:val="decimal"/>
      <w:lvlText w:val="%1."/>
      <w:lvlJc w:val="left"/>
      <w:pPr>
        <w:tabs>
          <w:tab w:val="left" w:pos="312"/>
        </w:tabs>
      </w:pPr>
    </w:lvl>
  </w:abstractNum>
  <w:abstractNum w:abstractNumId="3">
    <w:nsid w:val="3ECB29EC"/>
    <w:multiLevelType w:val="singleLevel"/>
    <w:tmpl w:val="3ECB29EC"/>
    <w:lvl w:ilvl="0" w:tentative="0">
      <w:start w:val="1"/>
      <w:numFmt w:val="decimal"/>
      <w:lvlText w:val="%1."/>
      <w:lvlJc w:val="left"/>
      <w:pPr>
        <w:tabs>
          <w:tab w:val="left" w:pos="312"/>
        </w:tabs>
      </w:pPr>
    </w:lvl>
  </w:abstractNum>
  <w:abstractNum w:abstractNumId="4">
    <w:nsid w:val="4D0A534E"/>
    <w:multiLevelType w:val="singleLevel"/>
    <w:tmpl w:val="4D0A534E"/>
    <w:lvl w:ilvl="0" w:tentative="0">
      <w:start w:val="1"/>
      <w:numFmt w:val="decimal"/>
      <w:lvlText w:val="%1."/>
      <w:lvlJc w:val="left"/>
      <w:pPr>
        <w:tabs>
          <w:tab w:val="left" w:pos="312"/>
        </w:tabs>
      </w:pPr>
    </w:lvl>
  </w:abstractNum>
  <w:abstractNum w:abstractNumId="5">
    <w:nsid w:val="615587D4"/>
    <w:multiLevelType w:val="singleLevel"/>
    <w:tmpl w:val="615587D4"/>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549F0"/>
    <w:rsid w:val="6525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cs="Arial"/>
    </w:rPr>
  </w:style>
  <w:style w:type="paragraph" w:styleId="5">
    <w:name w:val="Normal Indent"/>
    <w:basedOn w:val="1"/>
    <w:qFormat/>
    <w:uiPriority w:val="0"/>
    <w:pPr>
      <w:ind w:firstLine="420" w:firstLineChars="200"/>
    </w:pPr>
  </w:style>
  <w:style w:type="paragraph" w:styleId="6">
    <w:name w:val="Body Text"/>
    <w:basedOn w:val="1"/>
    <w:next w:val="7"/>
    <w:qFormat/>
    <w:uiPriority w:val="0"/>
    <w:pPr>
      <w:spacing w:after="120"/>
    </w:p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8">
    <w:name w:val="List 2"/>
    <w:basedOn w:val="1"/>
    <w:qFormat/>
    <w:uiPriority w:val="0"/>
    <w:pPr>
      <w:ind w:left="100" w:leftChars="200" w:hanging="200" w:hangingChars="200"/>
    </w:pPr>
  </w:style>
  <w:style w:type="paragraph" w:styleId="9">
    <w:name w:val="Plain Text"/>
    <w:basedOn w:val="1"/>
    <w:qFormat/>
    <w:uiPriority w:val="0"/>
    <w:rPr>
      <w:rFonts w:ascii="宋体" w:hAnsi="Courier New"/>
      <w:szCs w:val="20"/>
    </w:rPr>
  </w:style>
  <w:style w:type="paragraph" w:styleId="10">
    <w:name w:val="footer"/>
    <w:basedOn w:val="1"/>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blockquote"/>
    <w:basedOn w:val="1"/>
    <w:qFormat/>
    <w:uiPriority w:val="0"/>
    <w:pPr>
      <w:widowControl/>
      <w:spacing w:before="100" w:beforeAutospacing="1" w:after="100" w:afterAutospacing="1"/>
      <w:jc w:val="left"/>
    </w:pPr>
    <w:rPr>
      <w:rFonts w:ascii="宋体" w:hAnsi="宋体"/>
      <w:color w:val="000000"/>
      <w:kern w:val="0"/>
      <w:sz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2022-06-30T09:18:00Z</dcterms:created>
  <dc:creator>lenovo</dc:creator>
  <cp:lastModifiedBy>lenovo</cp:lastModifiedBy>
  <dcterms:modified xsi:type="dcterms:W3CDTF">2022-06-30T09:18:31Z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F7C58EBA7AF84B169D6598F70F2ECF89</vt:lpwstr>
  </property>
</Properties>
</file>