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4AFB6">
      <w:pPr>
        <w:pStyle w:val="3"/>
        <w:numPr>
          <w:ilvl w:val="0"/>
          <w:numId w:val="0"/>
        </w:numPr>
        <w:bidi w:val="0"/>
        <w:ind w:leftChars="0"/>
        <w:jc w:val="center"/>
        <w:rPr>
          <w:rFonts w:hint="eastAsia" w:ascii="宋体" w:hAnsi="宋体" w:eastAsia="宋体" w:cs="宋体"/>
          <w:b/>
          <w:bCs w:val="0"/>
          <w:sz w:val="40"/>
          <w:szCs w:val="40"/>
          <w:highlight w:val="none"/>
          <w:lang w:val="en-US" w:eastAsia="zh-CN"/>
        </w:rPr>
      </w:pPr>
      <w:bookmarkStart w:id="0" w:name="_Hlt107631560"/>
      <w:bookmarkEnd w:id="0"/>
      <w:r>
        <w:rPr>
          <w:rFonts w:hint="eastAsia" w:ascii="宋体" w:hAnsi="宋体" w:eastAsia="宋体" w:cs="宋体"/>
          <w:b/>
          <w:bCs w:val="0"/>
          <w:sz w:val="40"/>
          <w:szCs w:val="40"/>
          <w:lang w:val="en-US" w:eastAsia="zh-CN"/>
        </w:rPr>
        <w:t>安徽新华学院心理健康信息</w:t>
      </w:r>
      <w:bookmarkStart w:id="1" w:name="_GoBack"/>
      <w:bookmarkEnd w:id="1"/>
      <w:r>
        <w:rPr>
          <w:rFonts w:hint="eastAsia" w:ascii="宋体" w:hAnsi="宋体" w:eastAsia="宋体" w:cs="宋体"/>
          <w:b/>
          <w:bCs w:val="0"/>
          <w:sz w:val="40"/>
          <w:szCs w:val="40"/>
          <w:lang w:val="en-US" w:eastAsia="zh-CN"/>
        </w:rPr>
        <w:t>化管理平台建设要求</w:t>
      </w:r>
    </w:p>
    <w:p w14:paraId="6C0283D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等线" w:hAnsi="等线" w:eastAsia="等线" w:cs="等线"/>
          <w:b/>
          <w:bCs w:val="0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等线" w:hAnsi="等线" w:eastAsia="等线" w:cs="等线"/>
          <w:b/>
          <w:bCs w:val="0"/>
          <w:sz w:val="32"/>
          <w:szCs w:val="32"/>
          <w:highlight w:val="none"/>
          <w:vertAlign w:val="baseline"/>
          <w:lang w:val="en-US" w:eastAsia="zh-CN"/>
        </w:rPr>
        <w:t>功能要求</w:t>
      </w:r>
    </w:p>
    <w:p w14:paraId="3A022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highlight w:val="none"/>
          <w:shd w:val="clear" w:color="auto" w:fill="auto"/>
        </w:rPr>
        <w:t>平台</w:t>
      </w: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</w:rPr>
        <w:t>支持PC、移动端两种方式登录，具备</w:t>
      </w: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lang w:val="en-US" w:eastAsia="zh-CN"/>
        </w:rPr>
        <w:t>自助端</w:t>
      </w: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</w:rPr>
        <w:t>及管理端两个端口，结合当代高校心理健康教育工作特点研发，是信息化综合支持服务平台。平台面向全校大学生开展心理健康教育，以体系化流程辅助心理工作者完成“测评-预警-</w:t>
      </w: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lang w:val="en-US" w:eastAsia="zh-CN"/>
        </w:rPr>
        <w:t>咨询-</w:t>
      </w: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</w:rPr>
        <w:t>干预-档案-统计”闭环式管理。</w:t>
      </w:r>
    </w:p>
    <w:p w14:paraId="22A62E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2、平台</w:t>
      </w: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lang w:val="en-US" w:eastAsia="zh-CN"/>
        </w:rPr>
        <w:t>须内置有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危机干预量表，可对大学生近期危机风险、长期危机风险、空心风险等多维度进行综合评估，支持评估结果的分级预警并提供干预建议，可实现从传统症状筛查向动态风险识别与干预闭环的转变，有效弥补普通筛查工具仅关注即时症状的局限性。</w:t>
      </w:r>
    </w:p>
    <w:p w14:paraId="1C8C5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  <w:t>3、除平台内置的本土化危机干预量表外，还须包含如心理健康、情绪、学习、人格、智力、社交、生活、职业测评等多类型的专业测评量表，数量不少于50个。</w:t>
      </w:r>
    </w:p>
    <w:p w14:paraId="64BEA7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60" w:leftChars="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vertAlign w:val="baseline"/>
          <w:lang w:val="en-US" w:eastAsia="zh-CN"/>
        </w:rPr>
        <w:t>平台自助端采用H5页面自适应技术设计，须具有心理测评、在线预约、心理自助、活动管理、投票调查等≥5个功能模块。</w:t>
      </w:r>
    </w:p>
    <w:p w14:paraId="7279B0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lang w:val="en-US" w:eastAsia="zh-CN"/>
        </w:rPr>
        <w:t>5、平台自助端须具有心理测评功能，用户可在线参与测评，也可查看测评记录，了解已完成的测评信息。</w:t>
      </w:r>
    </w:p>
    <w:p w14:paraId="6C79E9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60" w:leftChars="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lang w:val="en-US" w:eastAsia="zh-CN"/>
        </w:rPr>
        <w:t>6、</w:t>
      </w: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  <w:t>平台自助端须具有在线预约功能，具备知情同意书签名设置，提供日历预约、咨询师预约2种形式，预约前需填写预约表单。</w:t>
      </w:r>
    </w:p>
    <w:p w14:paraId="0BA80C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60" w:leftChars="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  <w:t>7、平台自助端须具有心理自助功能，包含音乐调节、在线课程、心理文章、心理训练等模块。其中心理训练模块具有视觉追踪训练、注意广度训练、逻辑思维训练、注意集中性训练、选择性注意训练、空间认知训练、记忆力训练、问题解决训练、认知灵活性训练等多个分类，提供如小鱼喂食、心理旋转、记忆矩阵等至少12款训练游戏。</w:t>
      </w:r>
    </w:p>
    <w:p w14:paraId="026FFF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60" w:leftChars="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lang w:val="en-US" w:eastAsia="zh-CN"/>
        </w:rPr>
        <w:t>8、</w:t>
      </w: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  <w:t>平台自助端须具有活动管理功能，支持报名进行中、活动未开始、活动进行中、活动已结束、活动已取消、我的报名等信息查看。</w:t>
      </w:r>
    </w:p>
    <w:p w14:paraId="43D3CE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60" w:leftChars="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  <w:t>9、平台自助端须具有投票调查功能，支持查看全部投票及已参与投票等信息。</w:t>
      </w:r>
    </w:p>
    <w:p w14:paraId="753364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60" w:leftChars="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2"/>
          <w:sz w:val="28"/>
          <w:szCs w:val="28"/>
          <w:highlight w:val="none"/>
          <w:vertAlign w:val="baseline"/>
          <w:lang w:val="en-US" w:eastAsia="zh-CN" w:bidi="ar-SA"/>
        </w:rPr>
        <w:t>10、</w:t>
      </w: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  <w:t>平台管理端须具有测评、预警、咨询、跟踪、干预、档案、统计、活动、内容、设置等功能模块。</w:t>
      </w:r>
    </w:p>
    <w:p w14:paraId="37B6D4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  <w:t>11、平台管理端须具有测评功能，包括教育部测评、测评任务、量表设置。</w:t>
      </w:r>
    </w:p>
    <w:p w14:paraId="660541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  <w:t>12、教育部测评功能可按照模板导入测评记录，支持批量删除，可查看学生测评记录相关内容；量表设置功能支持对量表及问卷进行管理，可添加量表，自定义量表名称、题目、选项、因子、跳转规则等内容，支持反向计分设置及计分权重系数设置，发布前可预览量表。</w:t>
      </w:r>
    </w:p>
    <w:p w14:paraId="7097B7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  <w:t>13、测评任务功能可添加测评计划，设置计划名称、起止时间、是否启用等，支持知情同意书、测评结束语自定义编辑，可设置量表别名、报告查看权限，要求可通过性别、入学年份、学历等级、组织机构等条件设置测评范围；支持查看、管理测评档案，支持测评结果查询、预警重新计算，可导出个体测评报告、因子得分、答题记录等数据。</w:t>
      </w:r>
    </w:p>
    <w:p w14:paraId="4BD5B6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  <w:t>14、平台管理端须具有预警功能，包括测评预警筛查、量表综合筛查、等级异动管理。</w:t>
      </w:r>
    </w:p>
    <w:p w14:paraId="2BA6B9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  <w:t>15、量表综合筛查功能可根据“并且”“或者”选择不同的量表进行高级筛查，且人员名单支持导出；测评预警筛查功能支持按测评计划、量表、因子、答卷效度，以及学生个人基本信息等条件查询预警人员信息。</w:t>
      </w:r>
    </w:p>
    <w:p w14:paraId="1205C4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16、等级异动管理功能支持学生参与危机干预量表测评后，系统根据测评结果自动将学生心理健康水平划分为“警戒”“高危”“追踪”“关注”“正常”五个预警等级；支持以不同颜色直观区分各预警等级，支持人工对预警级别进行调整；异动记录须完整包含变动来源、变动时间、变动前后等级、变动原因、操作人等信息，同时支持异动记录的批量导入与导出，且异动记录不可删除、仅可追溯查看，支持异动数据的审计。</w:t>
      </w:r>
    </w:p>
    <w:p w14:paraId="09B2C0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  <w:t>17、平台管理端须具有咨询功能，包括预约管理、心理咨询管理。</w:t>
      </w:r>
    </w:p>
    <w:p w14:paraId="6F1925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  <w:t>8、预约管理功能支持自定义添加排班咨询师、咨询地点、咨询时段等，可自主管理预约配置、预约表单、排班模板等，查看正常预约和取消预约记录。其中，预约配置可根据预约答题结果判断学生风险类型，对高危学生释放更多预约时段。</w:t>
      </w:r>
    </w:p>
    <w:p w14:paraId="64AFAF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lang w:val="en-US" w:eastAsia="zh-CN"/>
        </w:rPr>
        <w:t>19、</w:t>
      </w: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  <w:t>心理咨询管理功能支持咨询师添加咨询记录，要求包括临床心理评估、咨询过程记录内容，咨询记录支持7天内修改。记录模板依据《中国心理学会临床与咨询心理学工作伦理守则》、《中华人民共和国精神卫生法》等伦理、法律规定，结合中国高校示范性心理中心工作情境创建，符合咨询工作情景。</w:t>
      </w:r>
    </w:p>
    <w:p w14:paraId="7E6140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  <w:t>20、平台管理端须具备跟踪管理功能，包含谈心谈话、心理周/月报。</w:t>
      </w:r>
    </w:p>
    <w:p w14:paraId="0DBDAD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lang w:val="en-US" w:eastAsia="zh-CN"/>
        </w:rPr>
        <w:t>21、谈心谈话功能可根据日常访谈、定期访谈等类型模板添加记录，记录模板支持自定义设计，记录内容支持导出。其中谈心谈话模板可自行添加模板类型并对模板进行编辑，组件支持说明文本、单选题、多选题、单行文本、多行文本、附件、时间等，支持开启统计分值，支持引用系统初始化内置表单；可设置模板为默认模板；支持与五级预警等级关联配置，可根据不同预警等级自动匹配并显示对应表单类型。</w:t>
      </w:r>
    </w:p>
    <w:p w14:paraId="580216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  <w:t>22、心理周/月报功能支持周报、月报流程上报，且各环节须进行签字处理，除系统自带的上报、处理、审核表单也可自定义设计相关内容，上报时可代入上次上报内容。</w:t>
      </w:r>
    </w:p>
    <w:p w14:paraId="0F0D604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  <w:t>23、平台管理端须具有干预功能，包括危机干预管理、危机库管理。</w:t>
      </w:r>
    </w:p>
    <w:p w14:paraId="1B3D6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lang w:val="en-US" w:eastAsia="zh-CN"/>
        </w:rPr>
        <w:t>24、危机干预记录功能，支持预设自杀危险性评估、自伤危险性评估、攻击危险性评估、危险性评估结论4项内容，可根据评估内容结合数字标识实时呈现预警级别，支持填写危机干预记录，支持选择首要危机问题类型与危机处理方案；危机处理方案功能提供无需干预、预约咨询、通知院系、通知家长等≥9种处理方案，当选择“通知院系”时，系统支持填写中心建议内容，对应院系辅导员账号可正常查看危机干预学生通知信息。</w:t>
      </w:r>
    </w:p>
    <w:p w14:paraId="1B253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lang w:val="en-US" w:eastAsia="zh-CN"/>
        </w:rPr>
        <w:t>25、危机库管理功能支持学生危机信息查询、添加，支持批量导入/导出学生入/出库名单；支持自定义配置危机库学生添加表单；出库学生名单支持一键恢复至危机库。</w:t>
      </w:r>
    </w:p>
    <w:p w14:paraId="31D71F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  <w:t>26、平台管理端须具备档案功能，具有一生一策功能模块，支持按字段查询学生档案信息，可查看学生等级异动、测评记录、预约申请记录等内容信息，要求显示学生预警等级，支持批量导出学生档案。</w:t>
      </w:r>
    </w:p>
    <w:p w14:paraId="0FCFBE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  <w:t>27、平台管理端须具备统计功能，包括统计管理、大数据统计。统计管理功能要求至少包括综合统计、咨询统计、危机干预统计、预约情况统计、危机库学生统计、跟踪记录统计、心理周月报统计、活动统计、谈心谈话统计等≥9数据；大数据统计功能支持查看平台整体使用情况统计数据。</w:t>
      </w:r>
    </w:p>
    <w:p w14:paraId="2DB6D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  <w:t>28、</w:t>
      </w: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lang w:val="en-US" w:eastAsia="zh-CN"/>
        </w:rPr>
        <w:t>平台管理端须具有内容管理、活动信息管理功能。内容管理支持发布学校新闻动态、自定义心理文章、音乐调节、在线课程等相关内容，可上传资源文件；活动信息管理支持添加活动、发布活动信息、自定义活动配置、设置投票问卷，能够指定参与范围，支持报名名单导出。</w:t>
      </w:r>
    </w:p>
    <w:p w14:paraId="4AA7E9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  <w:t>29、平台管理端须具有设置功能，包括学生管理、用户管理、系统管理。</w:t>
      </w:r>
    </w:p>
    <w:p w14:paraId="3A6E1D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6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  <w:t>30、</w:t>
      </w: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lang w:val="en-US" w:eastAsia="zh-CN"/>
        </w:rPr>
        <w:t>学生管理功能可根据学生类型下载对应模版导入数据，对于未导入成功的数据，系统提供错误提示，同时支持扩展信息设置，可对学生进行归档管理；用户管理功能支持添加多种角色类型，可按角色分类配置功能权限，数据权限与账号直接关联，不受角色影响；系统管理功能具有自助端、管理端装扮设置，可自定义设置自助端轮播页图片信息，支持学校公众号（服务号）微信绑定，可进行预约通知提醒。</w:t>
      </w:r>
    </w:p>
    <w:p w14:paraId="27735D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60" w:leftChars="0" w:hanging="560" w:hangingChars="200"/>
        <w:jc w:val="both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2"/>
          <w:sz w:val="28"/>
          <w:szCs w:val="28"/>
          <w:highlight w:val="none"/>
          <w:vertAlign w:val="baseline"/>
          <w:lang w:val="en-US" w:eastAsia="zh-CN" w:bidi="ar-SA"/>
        </w:rPr>
        <w:t>31、</w:t>
      </w: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  <w:vertAlign w:val="baseline"/>
          <w:lang w:val="en-US" w:eastAsia="zh-CN"/>
        </w:rPr>
        <w:t>平台具有安全保障机制，支持管理端角色水印信息显示，且管理端账号须具备使用时效限制，批量导出进行加密处理。</w:t>
      </w:r>
    </w:p>
    <w:p w14:paraId="274D3E1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等线" w:hAnsi="等线" w:eastAsia="等线" w:cs="等线"/>
          <w:b/>
          <w:bCs w:val="0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等线" w:hAnsi="等线" w:eastAsia="等线" w:cs="等线"/>
          <w:b/>
          <w:bCs w:val="0"/>
          <w:sz w:val="32"/>
          <w:szCs w:val="32"/>
          <w:highlight w:val="none"/>
          <w:vertAlign w:val="baseline"/>
          <w:lang w:val="en-US" w:eastAsia="zh-CN"/>
        </w:rPr>
        <w:t>总体要求</w:t>
      </w:r>
    </w:p>
    <w:p w14:paraId="0474F8F4">
      <w:pPr>
        <w:pStyle w:val="4"/>
        <w:numPr>
          <w:ilvl w:val="2"/>
          <w:numId w:val="0"/>
        </w:numPr>
        <w:bidi w:val="0"/>
        <w:spacing w:before="0" w:beforeLines="0" w:after="0" w:afterLines="0" w:line="360" w:lineRule="auto"/>
        <w:ind w:leftChars="0" w:firstLine="0" w:firstLineChars="0"/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  <w:t>（一）历史数据无损迁移</w:t>
      </w:r>
    </w:p>
    <w:p w14:paraId="694CE5A2">
      <w:pPr>
        <w:bidi w:val="0"/>
        <w:spacing w:after="120" w:line="360" w:lineRule="auto"/>
        <w:ind w:left="0" w:leftChars="0" w:firstLine="560" w:firstLineChars="200"/>
        <w:jc w:val="both"/>
        <w:rPr>
          <w:rFonts w:hint="eastAsia" w:ascii="宋体" w:hAnsi="宋体" w:eastAsia="宋体" w:cs="宋体"/>
          <w:b w:val="0"/>
          <w:bCs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8"/>
          <w:szCs w:val="28"/>
          <w:highlight w:val="none"/>
          <w:lang w:val="en-US" w:eastAsia="zh-CN" w:bidi="ar-SA"/>
        </w:rPr>
        <w:t>1、中标供应商应全权负责采购人现有旧</w:t>
      </w:r>
      <w:r>
        <w:rPr>
          <w:rFonts w:hint="eastAsia" w:ascii="宋体" w:hAnsi="宋体" w:cs="宋体"/>
          <w:b w:val="0"/>
          <w:bCs/>
          <w:kern w:val="2"/>
          <w:sz w:val="28"/>
          <w:szCs w:val="28"/>
          <w:highlight w:val="none"/>
          <w:lang w:val="en-US" w:eastAsia="zh-CN" w:bidi="ar-SA"/>
        </w:rPr>
        <w:t>心理</w:t>
      </w:r>
      <w:r>
        <w:rPr>
          <w:rFonts w:hint="eastAsia" w:ascii="宋体" w:hAnsi="宋体" w:eastAsia="宋体" w:cs="宋体"/>
          <w:b w:val="0"/>
          <w:bCs/>
          <w:kern w:val="2"/>
          <w:sz w:val="28"/>
          <w:szCs w:val="28"/>
          <w:highlight w:val="none"/>
          <w:lang w:val="en-US" w:eastAsia="zh-CN" w:bidi="ar-SA"/>
        </w:rPr>
        <w:t>系统历史数据迁移工作，迁移范围覆盖现有系统所有业务模块的结构化数据。</w:t>
      </w:r>
    </w:p>
    <w:p w14:paraId="2873D115">
      <w:pPr>
        <w:spacing w:after="120" w:line="360" w:lineRule="auto"/>
        <w:ind w:left="0" w:leftChars="0" w:firstLine="560" w:firstLineChars="200"/>
        <w:jc w:val="both"/>
        <w:rPr>
          <w:rFonts w:hint="eastAsia" w:ascii="宋体" w:hAnsi="宋体" w:eastAsia="宋体" w:cs="宋体"/>
          <w:b w:val="0"/>
          <w:bCs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/>
          <w:kern w:val="2"/>
          <w:sz w:val="28"/>
          <w:szCs w:val="28"/>
          <w:highlight w:val="none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/>
          <w:kern w:val="2"/>
          <w:sz w:val="28"/>
          <w:szCs w:val="28"/>
          <w:highlight w:val="none"/>
          <w:lang w:val="en-US" w:eastAsia="zh-CN" w:bidi="ar-SA"/>
        </w:rPr>
        <w:t>、迁移完成后，经双方共同验证的有效数据准确率与完整性需达到100%（有效数据指现有系统中本身完整、准确、可用的数据）。</w:t>
      </w:r>
    </w:p>
    <w:p w14:paraId="260ECC6D">
      <w:pPr>
        <w:spacing w:after="120" w:line="360" w:lineRule="auto"/>
        <w:ind w:left="0" w:leftChars="0" w:firstLine="560" w:firstLineChars="200"/>
        <w:jc w:val="both"/>
        <w:rPr>
          <w:rFonts w:hint="eastAsia" w:ascii="宋体" w:hAnsi="宋体" w:eastAsia="宋体" w:cs="宋体"/>
          <w:b w:val="0"/>
          <w:bCs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/>
          <w:kern w:val="2"/>
          <w:sz w:val="28"/>
          <w:szCs w:val="28"/>
          <w:highlight w:val="none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/>
          <w:kern w:val="2"/>
          <w:sz w:val="28"/>
          <w:szCs w:val="28"/>
          <w:highlight w:val="none"/>
          <w:lang w:val="en-US" w:eastAsia="zh-CN" w:bidi="ar-SA"/>
        </w:rPr>
        <w:t>、本次数据迁移所产生的全部费用（包括数据评估费、清洗费、迁移费、验证费等）已包含在投标总报价中，采购人无需另行支付任何费用。</w:t>
      </w:r>
    </w:p>
    <w:p w14:paraId="0B4FA38D">
      <w:pPr>
        <w:spacing w:after="120" w:line="360" w:lineRule="auto"/>
        <w:ind w:left="0" w:leftChars="0" w:firstLine="562" w:firstLineChars="200"/>
        <w:jc w:val="both"/>
        <w:rPr>
          <w:rFonts w:hint="eastAsia" w:ascii="宋体" w:hAnsi="宋体" w:eastAsia="宋体" w:cs="宋体"/>
          <w:b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28"/>
          <w:szCs w:val="28"/>
          <w:lang w:val="en-US" w:eastAsia="zh-CN" w:bidi="ar-SA"/>
        </w:rPr>
        <w:t>（二）系统对接</w:t>
      </w:r>
    </w:p>
    <w:p w14:paraId="14292E0C">
      <w:pPr>
        <w:spacing w:after="120" w:line="360" w:lineRule="auto"/>
        <w:ind w:left="0" w:leftChars="0" w:firstLine="560" w:firstLineChars="200"/>
        <w:jc w:val="both"/>
        <w:rPr>
          <w:rFonts w:hint="eastAsia" w:asciiTheme="minorEastAsia" w:hAnsiTheme="minorEastAsia" w:eastAsiaTheme="minorEastAsia" w:cstheme="minorEastAsia"/>
          <w:b w:val="0"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1、数据中心：对接旧系统全部数据，同时双向实时同步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</w:rPr>
        <w:t>学生班级、学号、姓名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等数据，保证数据统一。</w:t>
      </w:r>
    </w:p>
    <w:p w14:paraId="0B270C01">
      <w:pPr>
        <w:spacing w:after="120" w:line="360" w:lineRule="auto"/>
        <w:ind w:left="0" w:leftChars="0" w:firstLine="560" w:firstLineChars="200"/>
        <w:jc w:val="both"/>
        <w:rPr>
          <w:rFonts w:hint="eastAsia" w:ascii="宋体" w:hAnsi="宋体" w:eastAsia="宋体" w:cs="宋体"/>
          <w:b w:val="0"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2、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统一身份认证：集成学校统一认证平台，实现单点登录（SSO）。</w:t>
      </w:r>
    </w:p>
    <w:p w14:paraId="1A2DDB14">
      <w:pPr>
        <w:spacing w:after="120" w:line="360" w:lineRule="auto"/>
        <w:ind w:left="0" w:leftChars="0" w:firstLine="560" w:firstLineChars="200"/>
        <w:jc w:val="both"/>
        <w:rPr>
          <w:rFonts w:hint="eastAsia" w:ascii="宋体" w:hAnsi="宋体" w:eastAsia="宋体" w:cs="宋体"/>
          <w:b w:val="0"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3、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校园门户：对接门户，实现待办事项、消息联动展示。</w:t>
      </w:r>
    </w:p>
    <w:p w14:paraId="1FD593A1">
      <w:pPr>
        <w:spacing w:after="120" w:line="360" w:lineRule="auto"/>
        <w:ind w:left="0" w:leftChars="0" w:firstLine="560" w:firstLineChars="200"/>
        <w:jc w:val="both"/>
        <w:rPr>
          <w:rFonts w:hint="eastAsia" w:ascii="宋体" w:hAnsi="宋体" w:eastAsia="宋体" w:cs="宋体"/>
          <w:b w:val="0"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cs="宋体"/>
          <w:b w:val="0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4、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第三方系统：可对接教务系统、学工系统等外部系统。</w:t>
      </w:r>
    </w:p>
    <w:p w14:paraId="11AA62C6">
      <w:pPr>
        <w:pStyle w:val="3"/>
        <w:numPr>
          <w:ilvl w:val="0"/>
          <w:numId w:val="0"/>
        </w:numPr>
        <w:bidi w:val="0"/>
        <w:spacing w:before="0" w:beforeLines="0" w:after="0" w:afterLines="0" w:line="360" w:lineRule="auto"/>
        <w:ind w:left="0" w:leftChars="0" w:firstLine="281" w:firstLineChars="100"/>
        <w:rPr>
          <w:rFonts w:hint="eastAsia" w:ascii="宋体" w:hAnsi="宋体" w:eastAsia="宋体" w:cs="宋体"/>
          <w:b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28"/>
          <w:szCs w:val="28"/>
          <w:lang w:val="en-US" w:eastAsia="zh-CN" w:bidi="ar-SA"/>
        </w:rPr>
        <w:t>（三）移动端要求</w:t>
      </w:r>
    </w:p>
    <w:p w14:paraId="5415D261">
      <w:pPr>
        <w:pStyle w:val="3"/>
        <w:numPr>
          <w:ilvl w:val="0"/>
          <w:numId w:val="0"/>
        </w:numPr>
        <w:bidi w:val="0"/>
        <w:spacing w:before="0" w:beforeLines="0" w:after="0" w:afterLines="0" w:line="360" w:lineRule="auto"/>
        <w:ind w:left="0" w:leftChars="0" w:firstLine="560" w:firstLineChars="200"/>
        <w:rPr>
          <w:rFonts w:hint="eastAsia" w:ascii="宋体" w:hAnsi="宋体" w:eastAsia="宋体" w:cs="宋体"/>
          <w:b w:val="0"/>
          <w:bCs/>
          <w:strike w:val="0"/>
          <w:dstrike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trike w:val="0"/>
          <w:dstrike w:val="0"/>
          <w:color w:val="auto"/>
          <w:kern w:val="2"/>
          <w:sz w:val="28"/>
          <w:szCs w:val="28"/>
          <w:lang w:val="en-US" w:eastAsia="zh-CN" w:bidi="ar-SA"/>
        </w:rPr>
        <w:t>移动端功能与PC端数据实时同步，支持申请、审批、查询、材料上传、消息接收等全业务操作。</w:t>
      </w:r>
    </w:p>
    <w:p w14:paraId="78BA1A9C">
      <w:pPr>
        <w:numPr>
          <w:ilvl w:val="0"/>
          <w:numId w:val="3"/>
        </w:numPr>
        <w:ind w:leftChars="0" w:firstLine="281" w:firstLineChars="100"/>
        <w:rPr>
          <w:rFonts w:hint="eastAsia" w:ascii="宋体" w:hAnsi="宋体" w:eastAsia="宋体" w:cs="宋体"/>
          <w:b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28"/>
          <w:szCs w:val="28"/>
          <w:lang w:val="en-US" w:eastAsia="zh-CN" w:bidi="ar-SA"/>
        </w:rPr>
        <w:t>其他</w:t>
      </w:r>
    </w:p>
    <w:p w14:paraId="72A89A25">
      <w:pPr>
        <w:numPr>
          <w:ilvl w:val="0"/>
          <w:numId w:val="0"/>
        </w:numPr>
        <w:ind w:firstLine="280" w:firstLineChars="100"/>
        <w:rPr>
          <w:rFonts w:hint="eastAsia" w:ascii="宋体" w:hAnsi="宋体" w:eastAsia="宋体" w:cs="宋体"/>
          <w:b w:val="0"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cs="宋体"/>
          <w:b w:val="0"/>
          <w:bCs/>
          <w:color w:val="auto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8"/>
          <w:szCs w:val="28"/>
          <w:lang w:val="en-US" w:eastAsia="zh-CN" w:bidi="ar-SA"/>
        </w:rPr>
        <w:t>保证系统在质保期内有新的迭代升级版本出现，提供免费升级至最新版本。</w:t>
      </w:r>
    </w:p>
    <w:p w14:paraId="21AB3763">
      <w:pPr>
        <w:ind w:left="0" w:leftChars="0" w:firstLine="280" w:firstLineChars="100"/>
        <w:rPr>
          <w:rFonts w:hint="eastAsia" w:ascii="宋体" w:hAnsi="宋体" w:eastAsia="宋体" w:cs="宋体"/>
          <w:b w:val="0"/>
          <w:bCs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kern w:val="2"/>
          <w:sz w:val="28"/>
          <w:szCs w:val="28"/>
          <w:lang w:val="en-US" w:eastAsia="zh-CN" w:bidi="ar-SA"/>
        </w:rPr>
        <w:t>2、</w:t>
      </w:r>
      <w:r>
        <w:rPr>
          <w:rFonts w:hint="eastAsia" w:ascii="宋体" w:hAnsi="宋体" w:eastAsia="宋体" w:cs="宋体"/>
          <w:b w:val="0"/>
          <w:bCs/>
          <w:color w:val="auto"/>
          <w:kern w:val="2"/>
          <w:sz w:val="28"/>
          <w:szCs w:val="28"/>
          <w:lang w:val="en-US" w:eastAsia="zh-CN" w:bidi="ar-SA"/>
        </w:rPr>
        <w:t>系统免费质保期5年内有效。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2000000000000000000"/>
    <w:charset w:val="86"/>
    <w:family w:val="auto"/>
    <w:pitch w:val="default"/>
    <w:sig w:usb0="00000000" w:usb1="00000000" w:usb2="00000016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F3CEDE7F">
    <w:panose1 w:val="020B07030202040202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7E3C25"/>
    <w:multiLevelType w:val="multilevel"/>
    <w:tmpl w:val="887E3C25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4194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F8B685A1"/>
    <w:multiLevelType w:val="singleLevel"/>
    <w:tmpl w:val="F8B685A1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2D85D60"/>
    <w:multiLevelType w:val="singleLevel"/>
    <w:tmpl w:val="32D85D6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3B3F1D"/>
    <w:rsid w:val="119A1BF9"/>
    <w:rsid w:val="15EF3A60"/>
    <w:rsid w:val="21CD1533"/>
    <w:rsid w:val="28077DB2"/>
    <w:rsid w:val="2FB5592C"/>
    <w:rsid w:val="3D063D36"/>
    <w:rsid w:val="3DC71DF5"/>
    <w:rsid w:val="3DD97882"/>
    <w:rsid w:val="428C4A04"/>
    <w:rsid w:val="45A75961"/>
    <w:rsid w:val="4AF97DF3"/>
    <w:rsid w:val="4EDE7C89"/>
    <w:rsid w:val="505521CD"/>
    <w:rsid w:val="5FBB19F9"/>
    <w:rsid w:val="6B7B2092"/>
    <w:rsid w:val="6F5D299F"/>
    <w:rsid w:val="74CF1C9F"/>
    <w:rsid w:val="773D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after="330" w:afterLines="0"/>
      <w:ind w:firstLine="0" w:firstLineChars="0"/>
      <w:outlineLvl w:val="0"/>
    </w:pPr>
    <w:rPr>
      <w:rFonts w:eastAsia="楷体"/>
      <w:b/>
      <w:kern w:val="44"/>
      <w:sz w:val="44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tabs>
        <w:tab w:val="left" w:pos="420"/>
        <w:tab w:val="left" w:pos="567"/>
      </w:tabs>
      <w:adjustRightInd w:val="0"/>
      <w:snapToGrid w:val="0"/>
      <w:spacing w:before="260" w:beforeLines="0" w:after="260" w:afterLines="0" w:line="240" w:lineRule="auto"/>
      <w:ind w:left="0" w:firstLine="400" w:firstLineChars="0"/>
      <w:outlineLvl w:val="2"/>
    </w:pPr>
    <w:rPr>
      <w:rFonts w:ascii="方正楷体_GBK" w:hAnsi="方正楷体_GBK" w:eastAsia="楷体" w:cs="方正楷体_GBK"/>
      <w:b/>
      <w:sz w:val="32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  <w:pPr>
      <w:spacing w:before="120" w:after="120"/>
      <w:jc w:val="left"/>
    </w:pPr>
    <w:rPr>
      <w:rFonts w:asciiTheme="minorHAnsi" w:hAnsiTheme="minorHAnsi"/>
      <w:b/>
      <w:bCs/>
      <w:caps/>
      <w:sz w:val="20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3289</Words>
  <Characters>3321</Characters>
  <Paragraphs>33</Paragraphs>
  <TotalTime>25</TotalTime>
  <ScaleCrop>false</ScaleCrop>
  <LinksUpToDate>false</LinksUpToDate>
  <CharactersWithSpaces>3321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2026-07-22T09:36:00Z</dcterms:created>
  <dc:creator>WPS_1602552217</dc:creator>
  <cp:lastModifiedBy>神采飞扬</cp:lastModifiedBy>
  <dcterms:modified xsi:type="dcterms:W3CDTF">2026-07-28T09:20:11Z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03176DEC719043B6BB5CB9FD0D265272_11</vt:lpwstr>
  </property>
  <property fmtid="{D5CDD505-2E9C-101B-9397-08002B2CF9AE}" pid="4" name="KSOTemplateDocerSaveRecord">
    <vt:lpwstr>eyJoZGlkIjoiMDBjM2ZiNTEzM2MzMTliMDc3ZGY2NTJhOGFlZmZlMjAiLCJ1c2VySWQiOiI2MDkwODk0MzYifQ==</vt:lpwstr>
  </property>
</Properties>
</file>